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54E0B6FC" w:rsidR="00A60283" w:rsidRDefault="008B0648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La connectivité cérébrale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les publications de Nîmes Université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54E0B6FC" w:rsidR="00A60283" w:rsidRDefault="008B0648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La connectivité cérébrale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les publications de Nîmes Université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9820D4">
      <w:pPr>
        <w:spacing w:after="0" w:line="240" w:lineRule="auto"/>
        <w:rPr>
          <w:rFonts w:ascii="Arial" w:hAnsi="Arial" w:cs="Arial"/>
        </w:rPr>
      </w:pPr>
    </w:p>
    <w:p w14:paraId="488F0DAD" w14:textId="77777777" w:rsidR="009820D4" w:rsidRPr="001338EC" w:rsidRDefault="009820D4" w:rsidP="008B0648">
      <w:pPr>
        <w:spacing w:after="0" w:line="240" w:lineRule="auto"/>
        <w:rPr>
          <w:rFonts w:ascii="Arial" w:hAnsi="Arial" w:cs="Arial"/>
        </w:rPr>
      </w:pPr>
    </w:p>
    <w:p w14:paraId="7DAA911E" w14:textId="7DBA643C" w:rsidR="009820D4" w:rsidRPr="001338EC" w:rsidRDefault="009820D4" w:rsidP="00F704C9">
      <w:pPr>
        <w:spacing w:after="0" w:line="240" w:lineRule="auto"/>
        <w:jc w:val="both"/>
        <w:rPr>
          <w:rFonts w:ascii="Arial" w:hAnsi="Arial" w:cs="Arial"/>
        </w:rPr>
      </w:pPr>
      <w:r w:rsidRPr="001338EC">
        <w:rPr>
          <w:rFonts w:ascii="Arial" w:eastAsia="Times New Roman" w:hAnsi="Arial" w:cs="Arial"/>
          <w:lang w:eastAsia="fr-FR"/>
        </w:rPr>
        <w:t xml:space="preserve">ANZA HAFSA, Omar, MANDALLENA, Jean-Philippe, MICHAILLE, Gérard et PEREIRA, F., 2026. </w:t>
      </w:r>
      <w:proofErr w:type="spellStart"/>
      <w:r w:rsidRPr="001338EC">
        <w:rPr>
          <w:rFonts w:ascii="Arial" w:eastAsia="Times New Roman" w:hAnsi="Arial" w:cs="Arial"/>
          <w:lang w:eastAsia="fr-FR"/>
        </w:rPr>
        <w:t>Stochastic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homogenization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of </w:t>
      </w:r>
      <w:proofErr w:type="spellStart"/>
      <w:r w:rsidRPr="001338EC">
        <w:rPr>
          <w:rFonts w:ascii="Arial" w:eastAsia="Times New Roman" w:hAnsi="Arial" w:cs="Arial"/>
          <w:lang w:eastAsia="fr-FR"/>
        </w:rPr>
        <w:t>nonlocal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reaction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-diffusion </w:t>
      </w:r>
      <w:proofErr w:type="spellStart"/>
      <w:r w:rsidRPr="001338EC">
        <w:rPr>
          <w:rFonts w:ascii="Arial" w:eastAsia="Times New Roman" w:hAnsi="Arial" w:cs="Arial"/>
          <w:lang w:eastAsia="fr-FR"/>
        </w:rPr>
        <w:t>systems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of gradient flow type. </w:t>
      </w:r>
      <w:r w:rsidRPr="001338EC">
        <w:rPr>
          <w:rFonts w:ascii="Arial" w:eastAsia="Times New Roman" w:hAnsi="Arial" w:cs="Arial"/>
          <w:i/>
          <w:iCs/>
          <w:lang w:eastAsia="fr-FR"/>
        </w:rPr>
        <w:t xml:space="preserve">Journal of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Elliptic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Parabolic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Equations</w:t>
      </w:r>
      <w:r w:rsidRPr="001338EC">
        <w:rPr>
          <w:rFonts w:ascii="Arial" w:eastAsia="Times New Roman" w:hAnsi="Arial" w:cs="Arial"/>
          <w:lang w:eastAsia="fr-FR"/>
        </w:rPr>
        <w:t xml:space="preserve"> [en ligne]. 2026. [Consulté le 6 juin 2026]. DOI </w:t>
      </w:r>
      <w:hyperlink r:id="rId9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10.1007/s41808-026-00441-z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Disponible à l’adresse : </w:t>
      </w:r>
      <w:hyperlink r:id="rId10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https://hal.science/hal-05347112</w:t>
        </w:r>
      </w:hyperlink>
    </w:p>
    <w:p w14:paraId="72A45212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38E3000" w14:textId="24ED7B8B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338EC">
        <w:rPr>
          <w:rFonts w:ascii="Arial" w:eastAsia="Times New Roman" w:hAnsi="Arial" w:cs="Arial"/>
          <w:lang w:eastAsia="fr-FR"/>
        </w:rPr>
        <w:t xml:space="preserve">COLIC, </w:t>
      </w:r>
      <w:proofErr w:type="spellStart"/>
      <w:r w:rsidRPr="001338EC">
        <w:rPr>
          <w:rFonts w:ascii="Arial" w:eastAsia="Times New Roman" w:hAnsi="Arial" w:cs="Arial"/>
          <w:lang w:eastAsia="fr-FR"/>
        </w:rPr>
        <w:t>Lejla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SEIFFERT, Anna </w:t>
      </w:r>
      <w:proofErr w:type="spellStart"/>
      <w:r w:rsidRPr="001338EC">
        <w:rPr>
          <w:rFonts w:ascii="Arial" w:eastAsia="Times New Roman" w:hAnsi="Arial" w:cs="Arial"/>
          <w:lang w:eastAsia="fr-FR"/>
        </w:rPr>
        <w:t>Karoline</w:t>
      </w:r>
      <w:proofErr w:type="spellEnd"/>
      <w:r w:rsidRPr="001338EC">
        <w:rPr>
          <w:rFonts w:ascii="Arial" w:eastAsia="Times New Roman" w:hAnsi="Arial" w:cs="Arial"/>
          <w:lang w:eastAsia="fr-FR"/>
        </w:rPr>
        <w:t>, BAHLMA</w:t>
      </w:r>
      <w:bookmarkStart w:id="0" w:name="_GoBack"/>
      <w:bookmarkEnd w:id="0"/>
      <w:r w:rsidRPr="001338EC">
        <w:rPr>
          <w:rFonts w:ascii="Arial" w:eastAsia="Times New Roman" w:hAnsi="Arial" w:cs="Arial"/>
          <w:lang w:eastAsia="fr-FR"/>
        </w:rPr>
        <w:t xml:space="preserve">NN, Lydia, ZEREKIDZE, Ani, WALTHER, Johanna, MCCLAIN, Larissa, BESTEHER, Bianca, PEREIRA, F., ABBAR, </w:t>
      </w:r>
      <w:proofErr w:type="spellStart"/>
      <w:r w:rsidRPr="001338EC">
        <w:rPr>
          <w:rFonts w:ascii="Arial" w:eastAsia="Times New Roman" w:hAnsi="Arial" w:cs="Arial"/>
          <w:lang w:eastAsia="fr-FR"/>
        </w:rPr>
        <w:t>Mocrane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WALTER, Martin, JOLLANT, Fabrice et WAGNER, Gerd, 2026. </w:t>
      </w:r>
      <w:proofErr w:type="spellStart"/>
      <w:r w:rsidRPr="001338EC">
        <w:rPr>
          <w:rFonts w:ascii="Arial" w:eastAsia="Times New Roman" w:hAnsi="Arial" w:cs="Arial"/>
          <w:lang w:eastAsia="fr-FR"/>
        </w:rPr>
        <w:t>Hair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stress hormones in </w:t>
      </w:r>
      <w:proofErr w:type="spellStart"/>
      <w:r w:rsidRPr="001338EC">
        <w:rPr>
          <w:rFonts w:ascii="Arial" w:eastAsia="Times New Roman" w:hAnsi="Arial" w:cs="Arial"/>
          <w:lang w:eastAsia="fr-FR"/>
        </w:rPr>
        <w:t>individuals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with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 </w:t>
      </w:r>
      <w:proofErr w:type="spellStart"/>
      <w:r w:rsidRPr="001338EC">
        <w:rPr>
          <w:rFonts w:ascii="Arial" w:eastAsia="Times New Roman" w:hAnsi="Arial" w:cs="Arial"/>
          <w:lang w:eastAsia="fr-FR"/>
        </w:rPr>
        <w:t>recent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suicide </w:t>
      </w:r>
      <w:proofErr w:type="spellStart"/>
      <w:r w:rsidRPr="001338EC">
        <w:rPr>
          <w:rFonts w:ascii="Arial" w:eastAsia="Times New Roman" w:hAnsi="Arial" w:cs="Arial"/>
          <w:lang w:eastAsia="fr-FR"/>
        </w:rPr>
        <w:t>attempt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experiencing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 </w:t>
      </w:r>
      <w:proofErr w:type="spellStart"/>
      <w:r w:rsidRPr="001338EC">
        <w:rPr>
          <w:rFonts w:ascii="Arial" w:eastAsia="Times New Roman" w:hAnsi="Arial" w:cs="Arial"/>
          <w:lang w:eastAsia="fr-FR"/>
        </w:rPr>
        <w:t>depressive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episode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Neurobiology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of Stress</w:t>
      </w:r>
      <w:r w:rsidRPr="001338EC">
        <w:rPr>
          <w:rFonts w:ascii="Arial" w:eastAsia="Times New Roman" w:hAnsi="Arial" w:cs="Arial"/>
          <w:lang w:eastAsia="fr-FR"/>
        </w:rPr>
        <w:t>. janvier 2026. Vol. 40, pp. 100776. DOI </w:t>
      </w:r>
      <w:hyperlink r:id="rId11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10.1016/j.ynstr.2025.100776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</w:t>
      </w:r>
    </w:p>
    <w:p w14:paraId="45A958D7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0D42C77" w14:textId="0CC205AD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338EC">
        <w:rPr>
          <w:rFonts w:ascii="Arial" w:eastAsia="Times New Roman" w:hAnsi="Arial" w:cs="Arial"/>
          <w:lang w:eastAsia="fr-FR"/>
        </w:rPr>
        <w:t xml:space="preserve">CONEJERO, </w:t>
      </w:r>
      <w:proofErr w:type="spellStart"/>
      <w:r w:rsidRPr="001338EC">
        <w:rPr>
          <w:rFonts w:ascii="Arial" w:eastAsia="Times New Roman" w:hAnsi="Arial" w:cs="Arial"/>
          <w:lang w:eastAsia="fr-FR"/>
        </w:rPr>
        <w:t>Ismael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CHEA, Mathias, COURTET, Philippe, BOUVIER, Sylvie et PEREIRA, F., 2025. </w:t>
      </w:r>
      <w:proofErr w:type="spellStart"/>
      <w:r w:rsidRPr="001338EC">
        <w:rPr>
          <w:rFonts w:ascii="Arial" w:eastAsia="Times New Roman" w:hAnsi="Arial" w:cs="Arial"/>
          <w:lang w:eastAsia="fr-FR"/>
        </w:rPr>
        <w:t>Alterations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 the Blood–Brain </w:t>
      </w:r>
      <w:proofErr w:type="spellStart"/>
      <w:r w:rsidRPr="001338EC">
        <w:rPr>
          <w:rFonts w:ascii="Arial" w:eastAsia="Times New Roman" w:hAnsi="Arial" w:cs="Arial"/>
          <w:lang w:eastAsia="fr-FR"/>
        </w:rPr>
        <w:t>Barrier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 </w:t>
      </w:r>
      <w:proofErr w:type="spellStart"/>
      <w:r w:rsidRPr="001338EC">
        <w:rPr>
          <w:rFonts w:ascii="Arial" w:eastAsia="Times New Roman" w:hAnsi="Arial" w:cs="Arial"/>
          <w:lang w:eastAsia="fr-FR"/>
        </w:rPr>
        <w:t>Mood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Disorders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lang w:eastAsia="fr-FR"/>
        </w:rPr>
        <w:t>Neurodegenerative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Diseases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. </w:t>
      </w:r>
      <w:r w:rsidRPr="001338EC">
        <w:rPr>
          <w:rFonts w:ascii="Arial" w:eastAsia="Times New Roman" w:hAnsi="Arial" w:cs="Arial"/>
          <w:i/>
          <w:iCs/>
          <w:lang w:eastAsia="fr-FR"/>
        </w:rPr>
        <w:t xml:space="preserve">Seminars in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Thrombosis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Hemostasis</w:t>
      </w:r>
      <w:proofErr w:type="spellEnd"/>
      <w:r w:rsidRPr="001338EC">
        <w:rPr>
          <w:rFonts w:ascii="Arial" w:eastAsia="Times New Roman" w:hAnsi="Arial" w:cs="Arial"/>
          <w:lang w:eastAsia="fr-FR"/>
        </w:rPr>
        <w:t>. juin 2025. Vol. 51, n° 4, pp. 457</w:t>
      </w:r>
      <w:r w:rsidRPr="001338EC">
        <w:rPr>
          <w:rFonts w:ascii="Arial" w:eastAsia="Times New Roman" w:hAnsi="Arial" w:cs="Arial"/>
          <w:lang w:eastAsia="fr-FR"/>
        </w:rPr>
        <w:noBreakHyphen/>
        <w:t>464. DOI </w:t>
      </w:r>
      <w:hyperlink r:id="rId12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10.1055/s-0045-1804893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</w:t>
      </w:r>
    </w:p>
    <w:p w14:paraId="0A6081F6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6BAC178" w14:textId="3366721D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338EC">
        <w:rPr>
          <w:rFonts w:ascii="Arial" w:eastAsia="Times New Roman" w:hAnsi="Arial" w:cs="Arial"/>
          <w:lang w:eastAsia="fr-FR"/>
        </w:rPr>
        <w:t xml:space="preserve">DABLI, Djamel, PASTOR, Maxime, FABY, Sebastian, ERATH, Julien, CROISILLE, Cédric, PEREIRA, </w:t>
      </w:r>
      <w:proofErr w:type="spellStart"/>
      <w:r w:rsidRPr="001338EC">
        <w:rPr>
          <w:rFonts w:ascii="Arial" w:eastAsia="Times New Roman" w:hAnsi="Arial" w:cs="Arial"/>
          <w:lang w:eastAsia="fr-FR"/>
        </w:rPr>
        <w:t>Fabricio</w:t>
      </w:r>
      <w:proofErr w:type="spellEnd"/>
      <w:r w:rsidRPr="001338EC">
        <w:rPr>
          <w:rFonts w:ascii="Arial" w:eastAsia="Times New Roman" w:hAnsi="Arial" w:cs="Arial"/>
          <w:lang w:eastAsia="fr-FR"/>
        </w:rPr>
        <w:t>, BEREGI, Jean-Paul et GREFFIER, Joël, 2025. Photon-</w:t>
      </w:r>
      <w:proofErr w:type="spellStart"/>
      <w:r w:rsidRPr="001338EC">
        <w:rPr>
          <w:rFonts w:ascii="Arial" w:eastAsia="Times New Roman" w:hAnsi="Arial" w:cs="Arial"/>
          <w:lang w:eastAsia="fr-FR"/>
        </w:rPr>
        <w:t>counting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versus </w:t>
      </w:r>
      <w:proofErr w:type="spellStart"/>
      <w:r w:rsidRPr="001338EC">
        <w:rPr>
          <w:rFonts w:ascii="Arial" w:eastAsia="Times New Roman" w:hAnsi="Arial" w:cs="Arial"/>
          <w:lang w:eastAsia="fr-FR"/>
        </w:rPr>
        <w:t>energy-integrating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CT of abdomen-</w:t>
      </w:r>
      <w:proofErr w:type="gramStart"/>
      <w:r w:rsidRPr="001338EC">
        <w:rPr>
          <w:rFonts w:ascii="Arial" w:eastAsia="Times New Roman" w:hAnsi="Arial" w:cs="Arial"/>
          <w:lang w:eastAsia="fr-FR"/>
        </w:rPr>
        <w:t>pelvis:</w:t>
      </w:r>
      <w:proofErr w:type="gramEnd"/>
      <w:r w:rsidRPr="001338EC">
        <w:rPr>
          <w:rFonts w:ascii="Arial" w:eastAsia="Times New Roman" w:hAnsi="Arial" w:cs="Arial"/>
          <w:lang w:eastAsia="fr-FR"/>
        </w:rPr>
        <w:t xml:space="preserve"> a </w:t>
      </w:r>
      <w:proofErr w:type="spellStart"/>
      <w:r w:rsidRPr="001338EC">
        <w:rPr>
          <w:rFonts w:ascii="Arial" w:eastAsia="Times New Roman" w:hAnsi="Arial" w:cs="Arial"/>
          <w:lang w:eastAsia="fr-FR"/>
        </w:rPr>
        <w:t>phantom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study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on the </w:t>
      </w:r>
      <w:proofErr w:type="spellStart"/>
      <w:r w:rsidRPr="001338EC">
        <w:rPr>
          <w:rFonts w:ascii="Arial" w:eastAsia="Times New Roman" w:hAnsi="Arial" w:cs="Arial"/>
          <w:lang w:eastAsia="fr-FR"/>
        </w:rPr>
        <w:t>potential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for </w:t>
      </w:r>
      <w:proofErr w:type="spellStart"/>
      <w:r w:rsidRPr="001338EC">
        <w:rPr>
          <w:rFonts w:ascii="Arial" w:eastAsia="Times New Roman" w:hAnsi="Arial" w:cs="Arial"/>
          <w:lang w:eastAsia="fr-FR"/>
        </w:rPr>
        <w:t>reducing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iodine </w:t>
      </w:r>
      <w:proofErr w:type="spellStart"/>
      <w:r w:rsidRPr="001338EC">
        <w:rPr>
          <w:rFonts w:ascii="Arial" w:eastAsia="Times New Roman" w:hAnsi="Arial" w:cs="Arial"/>
          <w:lang w:eastAsia="fr-FR"/>
        </w:rPr>
        <w:t>contrast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media.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European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Radiology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Experimental</w:t>
      </w:r>
      <w:proofErr w:type="spellEnd"/>
      <w:r w:rsidRPr="001338EC">
        <w:rPr>
          <w:rFonts w:ascii="Arial" w:eastAsia="Times New Roman" w:hAnsi="Arial" w:cs="Arial"/>
          <w:lang w:eastAsia="fr-FR"/>
        </w:rPr>
        <w:t>. mars 2025. Vol. 9, pp. 36. DOI </w:t>
      </w:r>
      <w:hyperlink r:id="rId13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10.1186/s41747-025-00573-2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</w:t>
      </w:r>
    </w:p>
    <w:p w14:paraId="7C34A1C4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59D1C8A" w14:textId="0A2ED73D" w:rsidR="009820D4" w:rsidRPr="001338EC" w:rsidRDefault="009820D4" w:rsidP="00F704C9">
      <w:pPr>
        <w:spacing w:after="0" w:line="240" w:lineRule="auto"/>
        <w:jc w:val="both"/>
        <w:rPr>
          <w:rFonts w:ascii="Arial" w:hAnsi="Arial" w:cs="Arial"/>
        </w:rPr>
      </w:pPr>
      <w:r w:rsidRPr="001338EC">
        <w:rPr>
          <w:rFonts w:ascii="Arial" w:eastAsia="Times New Roman" w:hAnsi="Arial" w:cs="Arial"/>
          <w:lang w:eastAsia="fr-FR"/>
        </w:rPr>
        <w:t xml:space="preserve">FTOUHI, Ilias et ZUAZUA, Enrique, 2026. </w:t>
      </w:r>
      <w:proofErr w:type="spellStart"/>
      <w:r w:rsidRPr="001338EC">
        <w:rPr>
          <w:rFonts w:ascii="Arial" w:eastAsia="Times New Roman" w:hAnsi="Arial" w:cs="Arial"/>
          <w:lang w:eastAsia="fr-FR"/>
        </w:rPr>
        <w:t>Sensor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placement via large </w:t>
      </w:r>
      <w:proofErr w:type="spellStart"/>
      <w:r w:rsidRPr="001338EC">
        <w:rPr>
          <w:rFonts w:ascii="Arial" w:eastAsia="Times New Roman" w:hAnsi="Arial" w:cs="Arial"/>
          <w:lang w:eastAsia="fr-FR"/>
        </w:rPr>
        <w:t>deviations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 the Eikonal </w:t>
      </w:r>
      <w:proofErr w:type="spellStart"/>
      <w:r w:rsidRPr="001338EC">
        <w:rPr>
          <w:rFonts w:ascii="Arial" w:eastAsia="Times New Roman" w:hAnsi="Arial" w:cs="Arial"/>
          <w:lang w:eastAsia="fr-FR"/>
        </w:rPr>
        <w:t>equation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Arabian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Journal of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Mathematics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[en ligne]. mars 2026. [Consulté le 6 juin 2026]. DOI </w:t>
      </w:r>
      <w:hyperlink r:id="rId14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10.1007/s40065-026-00628-1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Disponible à l’adresse : </w:t>
      </w:r>
      <w:hyperlink r:id="rId15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https://hal.science/hal-05562095</w:t>
        </w:r>
      </w:hyperlink>
    </w:p>
    <w:p w14:paraId="4203FC87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75CD564" w14:textId="2DFB97D1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338EC">
        <w:rPr>
          <w:rFonts w:ascii="Arial" w:eastAsia="Times New Roman" w:hAnsi="Arial" w:cs="Arial"/>
          <w:lang w:eastAsia="fr-FR"/>
        </w:rPr>
        <w:t xml:space="preserve">GIFUNI, Anthony J., PEREIRA, F., CHAKRAVARTY, M. </w:t>
      </w:r>
      <w:proofErr w:type="spellStart"/>
      <w:r w:rsidRPr="001338EC">
        <w:rPr>
          <w:rFonts w:ascii="Arial" w:eastAsia="Times New Roman" w:hAnsi="Arial" w:cs="Arial"/>
          <w:lang w:eastAsia="fr-FR"/>
        </w:rPr>
        <w:t>Mallar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LEPAGE, Martin, CHASE, Henri W., GEOFFROY, Marie Claude, LACOURSE, </w:t>
      </w:r>
      <w:proofErr w:type="spellStart"/>
      <w:r w:rsidRPr="001338EC">
        <w:rPr>
          <w:rFonts w:ascii="Arial" w:eastAsia="Times New Roman" w:hAnsi="Arial" w:cs="Arial"/>
          <w:lang w:eastAsia="fr-FR"/>
        </w:rPr>
        <w:t>Eric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PHILLIPS, Mary L., TURECKI, Gustavo, RENAUD, Johanne et JOLLANT, Fabrice, 2024. Perception of social inclusion/exclusion and </w:t>
      </w:r>
      <w:proofErr w:type="spellStart"/>
      <w:r w:rsidRPr="001338EC">
        <w:rPr>
          <w:rFonts w:ascii="Arial" w:eastAsia="Times New Roman" w:hAnsi="Arial" w:cs="Arial"/>
          <w:lang w:eastAsia="fr-FR"/>
        </w:rPr>
        <w:t>response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inhibition in adolescents </w:t>
      </w:r>
      <w:proofErr w:type="spellStart"/>
      <w:r w:rsidRPr="001338EC">
        <w:rPr>
          <w:rFonts w:ascii="Arial" w:eastAsia="Times New Roman" w:hAnsi="Arial" w:cs="Arial"/>
          <w:lang w:eastAsia="fr-FR"/>
        </w:rPr>
        <w:t>with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past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suicide </w:t>
      </w:r>
      <w:proofErr w:type="spellStart"/>
      <w:proofErr w:type="gramStart"/>
      <w:r w:rsidRPr="001338EC">
        <w:rPr>
          <w:rFonts w:ascii="Arial" w:eastAsia="Times New Roman" w:hAnsi="Arial" w:cs="Arial"/>
          <w:lang w:eastAsia="fr-FR"/>
        </w:rPr>
        <w:t>attempt</w:t>
      </w:r>
      <w:proofErr w:type="spellEnd"/>
      <w:r w:rsidRPr="001338EC">
        <w:rPr>
          <w:rFonts w:ascii="Arial" w:eastAsia="Times New Roman" w:hAnsi="Arial" w:cs="Arial"/>
          <w:lang w:eastAsia="fr-FR"/>
        </w:rPr>
        <w:t>:</w:t>
      </w:r>
      <w:proofErr w:type="gram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a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multidomain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task-based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fMRI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study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Molecular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Psychiatry</w:t>
      </w:r>
      <w:proofErr w:type="spellEnd"/>
      <w:r w:rsidRPr="001338EC">
        <w:rPr>
          <w:rFonts w:ascii="Arial" w:eastAsia="Times New Roman" w:hAnsi="Arial" w:cs="Arial"/>
          <w:lang w:eastAsia="fr-FR"/>
        </w:rPr>
        <w:t>. 2024. Vol. 29, pp. 2135</w:t>
      </w:r>
      <w:r w:rsidRPr="001338EC">
        <w:rPr>
          <w:rFonts w:ascii="Arial" w:eastAsia="Times New Roman" w:hAnsi="Arial" w:cs="Arial"/>
          <w:lang w:eastAsia="fr-FR"/>
        </w:rPr>
        <w:noBreakHyphen/>
        <w:t>2144. DOI </w:t>
      </w:r>
      <w:hyperlink r:id="rId16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10.1038/s41380-024-02485-w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</w:t>
      </w:r>
    </w:p>
    <w:p w14:paraId="27FBFF6C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F732F87" w14:textId="0982AB8D" w:rsidR="009820D4" w:rsidRPr="001338EC" w:rsidRDefault="009820D4" w:rsidP="00F704C9">
      <w:pPr>
        <w:spacing w:after="0" w:line="240" w:lineRule="auto"/>
        <w:jc w:val="both"/>
        <w:rPr>
          <w:rFonts w:ascii="Arial" w:hAnsi="Arial" w:cs="Arial"/>
        </w:rPr>
      </w:pPr>
      <w:r w:rsidRPr="001338EC">
        <w:rPr>
          <w:rFonts w:ascii="Arial" w:eastAsia="Times New Roman" w:hAnsi="Arial" w:cs="Arial"/>
          <w:lang w:eastAsia="fr-FR"/>
        </w:rPr>
        <w:t xml:space="preserve">GRIS, Jean-Christophe, CHÉA, Mathias, BOUVIER, Sylvie et PEREIRA, F., 2024. </w:t>
      </w:r>
      <w:proofErr w:type="spellStart"/>
      <w:r w:rsidRPr="001338EC">
        <w:rPr>
          <w:rFonts w:ascii="Arial" w:eastAsia="Times New Roman" w:hAnsi="Arial" w:cs="Arial"/>
          <w:lang w:eastAsia="fr-FR"/>
        </w:rPr>
        <w:t>Antiphospholipid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Antibodies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 Mental </w:t>
      </w:r>
      <w:proofErr w:type="spellStart"/>
      <w:r w:rsidRPr="001338EC">
        <w:rPr>
          <w:rFonts w:ascii="Arial" w:eastAsia="Times New Roman" w:hAnsi="Arial" w:cs="Arial"/>
          <w:lang w:eastAsia="fr-FR"/>
        </w:rPr>
        <w:t>Disorders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. </w:t>
      </w:r>
      <w:r w:rsidRPr="001338EC">
        <w:rPr>
          <w:rFonts w:ascii="Arial" w:eastAsia="Times New Roman" w:hAnsi="Arial" w:cs="Arial"/>
          <w:i/>
          <w:iCs/>
          <w:lang w:eastAsia="fr-FR"/>
        </w:rPr>
        <w:t xml:space="preserve">Seminars in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Thrombosis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Hemostasis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[en ligne]. juillet 2024. [Consulté le 6 juin 2026]. DOI </w:t>
      </w:r>
      <w:hyperlink r:id="rId17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10.1055/s-0044-1788696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Disponible à l’adresse : </w:t>
      </w:r>
      <w:hyperlink r:id="rId18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https://hal.science/hal-04719638</w:t>
        </w:r>
      </w:hyperlink>
    </w:p>
    <w:p w14:paraId="74FC077A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0F30B7B" w14:textId="03B7C990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338EC">
        <w:rPr>
          <w:rFonts w:ascii="Arial" w:eastAsia="Times New Roman" w:hAnsi="Arial" w:cs="Arial"/>
          <w:lang w:eastAsia="fr-FR"/>
        </w:rPr>
        <w:t xml:space="preserve">GRIS, Jean-Christophe, CHÉA, Mathias, BOUVIER, Sylvie et PEREIRA, </w:t>
      </w:r>
      <w:proofErr w:type="spellStart"/>
      <w:r w:rsidRPr="001338EC">
        <w:rPr>
          <w:rFonts w:ascii="Arial" w:eastAsia="Times New Roman" w:hAnsi="Arial" w:cs="Arial"/>
          <w:lang w:eastAsia="fr-FR"/>
        </w:rPr>
        <w:t>Fabricio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2024. </w:t>
      </w:r>
      <w:proofErr w:type="spellStart"/>
      <w:r w:rsidRPr="001338EC">
        <w:rPr>
          <w:rFonts w:ascii="Arial" w:eastAsia="Times New Roman" w:hAnsi="Arial" w:cs="Arial"/>
          <w:lang w:eastAsia="fr-FR"/>
        </w:rPr>
        <w:t>Antiphospholipid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Antibodies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 Mental </w:t>
      </w:r>
      <w:proofErr w:type="spellStart"/>
      <w:r w:rsidRPr="001338EC">
        <w:rPr>
          <w:rFonts w:ascii="Arial" w:eastAsia="Times New Roman" w:hAnsi="Arial" w:cs="Arial"/>
          <w:lang w:eastAsia="fr-FR"/>
        </w:rPr>
        <w:t>Disorders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. </w:t>
      </w:r>
      <w:r w:rsidRPr="001338EC">
        <w:rPr>
          <w:rFonts w:ascii="Arial" w:eastAsia="Times New Roman" w:hAnsi="Arial" w:cs="Arial"/>
          <w:i/>
          <w:iCs/>
          <w:lang w:eastAsia="fr-FR"/>
        </w:rPr>
        <w:t xml:space="preserve">Seminars in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Thrombosis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Hemostasis</w:t>
      </w:r>
      <w:proofErr w:type="spellEnd"/>
      <w:r w:rsidRPr="001338EC">
        <w:rPr>
          <w:rFonts w:ascii="Arial" w:eastAsia="Times New Roman" w:hAnsi="Arial" w:cs="Arial"/>
          <w:lang w:eastAsia="fr-FR"/>
        </w:rPr>
        <w:t>. juillet 2024. Vol. 51, n° 04, pp. 448</w:t>
      </w:r>
      <w:r w:rsidRPr="001338EC">
        <w:rPr>
          <w:rFonts w:ascii="Arial" w:eastAsia="Times New Roman" w:hAnsi="Arial" w:cs="Arial"/>
          <w:lang w:eastAsia="fr-FR"/>
        </w:rPr>
        <w:noBreakHyphen/>
        <w:t>456. DOI </w:t>
      </w:r>
      <w:hyperlink r:id="rId19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10.1055/s-0044-1788696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</w:t>
      </w:r>
    </w:p>
    <w:p w14:paraId="3CBC3EB4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70C6BCA" w14:textId="1CBE4B5F" w:rsidR="009820D4" w:rsidRPr="001338EC" w:rsidRDefault="009820D4" w:rsidP="00F704C9">
      <w:pPr>
        <w:spacing w:after="0" w:line="240" w:lineRule="auto"/>
        <w:jc w:val="both"/>
        <w:rPr>
          <w:rFonts w:ascii="Arial" w:hAnsi="Arial" w:cs="Arial"/>
        </w:rPr>
      </w:pPr>
      <w:r w:rsidRPr="001338EC">
        <w:rPr>
          <w:rFonts w:ascii="Arial" w:eastAsia="Times New Roman" w:hAnsi="Arial" w:cs="Arial"/>
          <w:lang w:eastAsia="fr-FR"/>
        </w:rPr>
        <w:t xml:space="preserve">SOUSA, Paula, RODRIGUES, Jorge </w:t>
      </w:r>
      <w:proofErr w:type="spellStart"/>
      <w:r w:rsidRPr="001338EC">
        <w:rPr>
          <w:rFonts w:ascii="Arial" w:eastAsia="Times New Roman" w:hAnsi="Arial" w:cs="Arial"/>
          <w:lang w:eastAsia="fr-FR"/>
        </w:rPr>
        <w:t>Magalhães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DEUS, </w:t>
      </w:r>
      <w:proofErr w:type="spellStart"/>
      <w:r w:rsidRPr="001338EC">
        <w:rPr>
          <w:rFonts w:ascii="Arial" w:eastAsia="Times New Roman" w:hAnsi="Arial" w:cs="Arial"/>
          <w:lang w:eastAsia="fr-FR"/>
        </w:rPr>
        <w:t>Madalena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PEDROSA, Mariana, PARREIRA, Raquel, PEREIRA, F., MACHADO, Jorge Pereira et MOREIRA, António, 2025. </w:t>
      </w:r>
      <w:proofErr w:type="spellStart"/>
      <w:r w:rsidRPr="001338EC">
        <w:rPr>
          <w:rFonts w:ascii="Arial" w:eastAsia="Times New Roman" w:hAnsi="Arial" w:cs="Arial"/>
          <w:lang w:eastAsia="fr-FR"/>
        </w:rPr>
        <w:t>Effectiveness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of </w:t>
      </w:r>
      <w:proofErr w:type="spellStart"/>
      <w:r w:rsidRPr="001338EC">
        <w:rPr>
          <w:rFonts w:ascii="Arial" w:eastAsia="Times New Roman" w:hAnsi="Arial" w:cs="Arial"/>
          <w:lang w:eastAsia="fr-FR"/>
        </w:rPr>
        <w:t>Cranial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Acupuncture for Vertigo and </w:t>
      </w:r>
      <w:proofErr w:type="spellStart"/>
      <w:r w:rsidRPr="001338EC">
        <w:rPr>
          <w:rFonts w:ascii="Arial" w:eastAsia="Times New Roman" w:hAnsi="Arial" w:cs="Arial"/>
          <w:lang w:eastAsia="fr-FR"/>
        </w:rPr>
        <w:t>Dizziness-Exploring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the “</w:t>
      </w:r>
      <w:proofErr w:type="spellStart"/>
      <w:r w:rsidRPr="001338EC">
        <w:rPr>
          <w:rFonts w:ascii="Arial" w:eastAsia="Times New Roman" w:hAnsi="Arial" w:cs="Arial"/>
          <w:lang w:eastAsia="fr-FR"/>
        </w:rPr>
        <w:t>Epley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Area” as a Novel </w:t>
      </w:r>
      <w:proofErr w:type="spellStart"/>
      <w:r w:rsidRPr="001338EC">
        <w:rPr>
          <w:rFonts w:ascii="Arial" w:eastAsia="Times New Roman" w:hAnsi="Arial" w:cs="Arial"/>
          <w:lang w:eastAsia="fr-FR"/>
        </w:rPr>
        <w:t>Hypothesized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Site of </w:t>
      </w:r>
      <w:proofErr w:type="gramStart"/>
      <w:r w:rsidRPr="001338EC">
        <w:rPr>
          <w:rFonts w:ascii="Arial" w:eastAsia="Times New Roman" w:hAnsi="Arial" w:cs="Arial"/>
          <w:lang w:eastAsia="fr-FR"/>
        </w:rPr>
        <w:t>Intervention:</w:t>
      </w:r>
      <w:proofErr w:type="gramEnd"/>
      <w:r w:rsidRPr="001338EC">
        <w:rPr>
          <w:rFonts w:ascii="Arial" w:eastAsia="Times New Roman" w:hAnsi="Arial" w:cs="Arial"/>
          <w:lang w:eastAsia="fr-FR"/>
        </w:rPr>
        <w:t xml:space="preserve"> A Case </w:t>
      </w:r>
      <w:proofErr w:type="spellStart"/>
      <w:r w:rsidRPr="001338EC">
        <w:rPr>
          <w:rFonts w:ascii="Arial" w:eastAsia="Times New Roman" w:hAnsi="Arial" w:cs="Arial"/>
          <w:lang w:eastAsia="fr-FR"/>
        </w:rPr>
        <w:t>Series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Integrative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Complementary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Therapies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[en ligne]. octobre 2025. </w:t>
      </w:r>
      <w:r w:rsidRPr="001338EC">
        <w:rPr>
          <w:rFonts w:ascii="Arial" w:eastAsia="Times New Roman" w:hAnsi="Arial" w:cs="Arial"/>
          <w:lang w:eastAsia="fr-FR"/>
        </w:rPr>
        <w:lastRenderedPageBreak/>
        <w:t>[Consulté le 6 juin 2026]. DOI </w:t>
      </w:r>
      <w:hyperlink r:id="rId20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10.1177/27683192251386020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Disponible à l’adresse : </w:t>
      </w:r>
      <w:hyperlink r:id="rId21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https://hal.science/hal-05347377</w:t>
        </w:r>
      </w:hyperlink>
    </w:p>
    <w:p w14:paraId="4B5E3608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28FF2D4" w14:textId="784BA56C" w:rsidR="009820D4" w:rsidRPr="001338EC" w:rsidRDefault="009820D4" w:rsidP="00F704C9">
      <w:pPr>
        <w:spacing w:after="0" w:line="240" w:lineRule="auto"/>
        <w:jc w:val="both"/>
        <w:rPr>
          <w:rFonts w:ascii="Arial" w:hAnsi="Arial" w:cs="Arial"/>
        </w:rPr>
      </w:pPr>
      <w:r w:rsidRPr="001338EC">
        <w:rPr>
          <w:rFonts w:ascii="Arial" w:eastAsia="Times New Roman" w:hAnsi="Arial" w:cs="Arial"/>
          <w:lang w:eastAsia="fr-FR"/>
        </w:rPr>
        <w:t xml:space="preserve">SOUSA, Paula, RODRIGUES, Jorge </w:t>
      </w:r>
      <w:proofErr w:type="spellStart"/>
      <w:r w:rsidRPr="001338EC">
        <w:rPr>
          <w:rFonts w:ascii="Arial" w:eastAsia="Times New Roman" w:hAnsi="Arial" w:cs="Arial"/>
          <w:lang w:eastAsia="fr-FR"/>
        </w:rPr>
        <w:t>Magalhães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DEUS, </w:t>
      </w:r>
      <w:proofErr w:type="spellStart"/>
      <w:r w:rsidRPr="001338EC">
        <w:rPr>
          <w:rFonts w:ascii="Arial" w:eastAsia="Times New Roman" w:hAnsi="Arial" w:cs="Arial"/>
          <w:lang w:eastAsia="fr-FR"/>
        </w:rPr>
        <w:t>Madalena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PEDROSA, Mariana, PARREIRA, Raquel, PEREIRA, </w:t>
      </w:r>
      <w:proofErr w:type="spellStart"/>
      <w:r w:rsidRPr="001338EC">
        <w:rPr>
          <w:rFonts w:ascii="Arial" w:eastAsia="Times New Roman" w:hAnsi="Arial" w:cs="Arial"/>
          <w:lang w:eastAsia="fr-FR"/>
        </w:rPr>
        <w:t>Fabrício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MACHADO, Jorge Pereira et MOREIRA, António, 2026. A New </w:t>
      </w:r>
      <w:proofErr w:type="spellStart"/>
      <w:r w:rsidRPr="001338EC">
        <w:rPr>
          <w:rFonts w:ascii="Arial" w:eastAsia="Times New Roman" w:hAnsi="Arial" w:cs="Arial"/>
          <w:lang w:eastAsia="fr-FR"/>
        </w:rPr>
        <w:t>Cranial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Acupuncture Area in the </w:t>
      </w:r>
      <w:proofErr w:type="spellStart"/>
      <w:r w:rsidRPr="001338EC">
        <w:rPr>
          <w:rFonts w:ascii="Arial" w:eastAsia="Times New Roman" w:hAnsi="Arial" w:cs="Arial"/>
          <w:lang w:eastAsia="fr-FR"/>
        </w:rPr>
        <w:t>Treatment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of Taste and </w:t>
      </w:r>
      <w:proofErr w:type="spellStart"/>
      <w:r w:rsidRPr="001338EC">
        <w:rPr>
          <w:rFonts w:ascii="Arial" w:eastAsia="Times New Roman" w:hAnsi="Arial" w:cs="Arial"/>
          <w:lang w:eastAsia="fr-FR"/>
        </w:rPr>
        <w:t>Smell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Sensory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Alterations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Caused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by Coronavirus </w:t>
      </w:r>
      <w:proofErr w:type="spellStart"/>
      <w:r w:rsidRPr="001338EC">
        <w:rPr>
          <w:rFonts w:ascii="Arial" w:eastAsia="Times New Roman" w:hAnsi="Arial" w:cs="Arial"/>
          <w:lang w:eastAsia="fr-FR"/>
        </w:rPr>
        <w:t>Disease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2019 (COVID-19</w:t>
      </w:r>
      <w:proofErr w:type="gramStart"/>
      <w:r w:rsidRPr="001338EC">
        <w:rPr>
          <w:rFonts w:ascii="Arial" w:eastAsia="Times New Roman" w:hAnsi="Arial" w:cs="Arial"/>
          <w:lang w:eastAsia="fr-FR"/>
        </w:rPr>
        <w:t>):</w:t>
      </w:r>
      <w:proofErr w:type="gramEnd"/>
      <w:r w:rsidRPr="001338EC">
        <w:rPr>
          <w:rFonts w:ascii="Arial" w:eastAsia="Times New Roman" w:hAnsi="Arial" w:cs="Arial"/>
          <w:lang w:eastAsia="fr-FR"/>
        </w:rPr>
        <w:t xml:space="preserve"> Case Reports.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Integrative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Complementary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Therapies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[en ligne]. février 2026. [Consulté le 6 juin 2026]. DOI </w:t>
      </w:r>
      <w:hyperlink r:id="rId22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10.1177/27683192261422811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Disponible à l’adresse : </w:t>
      </w:r>
      <w:hyperlink r:id="rId23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https://hal.science/hal-05561475</w:t>
        </w:r>
      </w:hyperlink>
    </w:p>
    <w:p w14:paraId="09161C3F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2526ACF" w14:textId="5CB925B3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338EC">
        <w:rPr>
          <w:rFonts w:ascii="Arial" w:eastAsia="Times New Roman" w:hAnsi="Arial" w:cs="Arial"/>
          <w:lang w:eastAsia="fr-FR"/>
        </w:rPr>
        <w:t xml:space="preserve">VAN VELZEN, Laura S, COLIC, </w:t>
      </w:r>
      <w:proofErr w:type="spellStart"/>
      <w:r w:rsidRPr="001338EC">
        <w:rPr>
          <w:rFonts w:ascii="Arial" w:eastAsia="Times New Roman" w:hAnsi="Arial" w:cs="Arial"/>
          <w:lang w:eastAsia="fr-FR"/>
        </w:rPr>
        <w:t>Lejla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[…], PEREIRA, </w:t>
      </w:r>
      <w:proofErr w:type="spellStart"/>
      <w:r w:rsidRPr="001338EC">
        <w:rPr>
          <w:rFonts w:ascii="Arial" w:eastAsia="Times New Roman" w:hAnsi="Arial" w:cs="Arial"/>
          <w:lang w:eastAsia="fr-FR"/>
        </w:rPr>
        <w:t>Fabricio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, 2025. </w:t>
      </w:r>
      <w:proofErr w:type="spellStart"/>
      <w:r w:rsidRPr="001338EC">
        <w:rPr>
          <w:rFonts w:ascii="Arial" w:eastAsia="Times New Roman" w:hAnsi="Arial" w:cs="Arial"/>
          <w:lang w:eastAsia="fr-FR"/>
        </w:rPr>
        <w:t>Transdiagnostic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alterations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 white </w:t>
      </w:r>
      <w:proofErr w:type="spellStart"/>
      <w:r w:rsidRPr="001338EC">
        <w:rPr>
          <w:rFonts w:ascii="Arial" w:eastAsia="Times New Roman" w:hAnsi="Arial" w:cs="Arial"/>
          <w:lang w:eastAsia="fr-FR"/>
        </w:rPr>
        <w:t>matter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microstructure </w:t>
      </w:r>
      <w:proofErr w:type="spellStart"/>
      <w:r w:rsidRPr="001338EC">
        <w:rPr>
          <w:rFonts w:ascii="Arial" w:eastAsia="Times New Roman" w:hAnsi="Arial" w:cs="Arial"/>
          <w:lang w:eastAsia="fr-FR"/>
        </w:rPr>
        <w:t>associated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with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suicidal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thoughts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lang w:eastAsia="fr-FR"/>
        </w:rPr>
        <w:t>behaviours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 the ENIGMA </w:t>
      </w:r>
      <w:proofErr w:type="spellStart"/>
      <w:r w:rsidRPr="001338EC">
        <w:rPr>
          <w:rFonts w:ascii="Arial" w:eastAsia="Times New Roman" w:hAnsi="Arial" w:cs="Arial"/>
          <w:lang w:eastAsia="fr-FR"/>
        </w:rPr>
        <w:t>Suicidal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Thoughts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lang w:eastAsia="fr-FR"/>
        </w:rPr>
        <w:t>Behaviours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consortium.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Translational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Psychiatry</w:t>
      </w:r>
      <w:proofErr w:type="spellEnd"/>
      <w:r w:rsidRPr="001338EC">
        <w:rPr>
          <w:rFonts w:ascii="Arial" w:eastAsia="Times New Roman" w:hAnsi="Arial" w:cs="Arial"/>
          <w:lang w:eastAsia="fr-FR"/>
        </w:rPr>
        <w:t>. 2025. Vol. 15, n° 1, pp. 429. DOI </w:t>
      </w:r>
      <w:hyperlink r:id="rId24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10.1038/s41398-025-03602-1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</w:t>
      </w:r>
    </w:p>
    <w:p w14:paraId="674B5D65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14ADBA2" w14:textId="77777777" w:rsidR="009820D4" w:rsidRPr="001338EC" w:rsidRDefault="009820D4" w:rsidP="00F704C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338EC">
        <w:rPr>
          <w:rFonts w:ascii="Arial" w:eastAsia="Times New Roman" w:hAnsi="Arial" w:cs="Arial"/>
          <w:lang w:eastAsia="fr-FR"/>
        </w:rPr>
        <w:t xml:space="preserve">WAGNER, Gerd, ZEREKIDZE, Ani, LI, Meng, BAHLMANN, Lydia, WALTER, Martin, GÜLLMAR, Daniel, PEREIRA, </w:t>
      </w:r>
      <w:proofErr w:type="spellStart"/>
      <w:r w:rsidRPr="001338EC">
        <w:rPr>
          <w:rFonts w:ascii="Arial" w:eastAsia="Times New Roman" w:hAnsi="Arial" w:cs="Arial"/>
          <w:lang w:eastAsia="fr-FR"/>
        </w:rPr>
        <w:t>Fabricio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et JOLLANT, Fabrice, 2025. White </w:t>
      </w:r>
      <w:proofErr w:type="spellStart"/>
      <w:r w:rsidRPr="001338EC">
        <w:rPr>
          <w:rFonts w:ascii="Arial" w:eastAsia="Times New Roman" w:hAnsi="Arial" w:cs="Arial"/>
          <w:lang w:eastAsia="fr-FR"/>
        </w:rPr>
        <w:t>Matter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Microstructural </w:t>
      </w:r>
      <w:proofErr w:type="spellStart"/>
      <w:r w:rsidRPr="001338EC">
        <w:rPr>
          <w:rFonts w:ascii="Arial" w:eastAsia="Times New Roman" w:hAnsi="Arial" w:cs="Arial"/>
          <w:lang w:eastAsia="fr-FR"/>
        </w:rPr>
        <w:t>Alterations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and </w:t>
      </w:r>
      <w:proofErr w:type="spellStart"/>
      <w:r w:rsidRPr="001338EC">
        <w:rPr>
          <w:rFonts w:ascii="Arial" w:eastAsia="Times New Roman" w:hAnsi="Arial" w:cs="Arial"/>
          <w:lang w:eastAsia="fr-FR"/>
        </w:rPr>
        <w:t>their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Association </w:t>
      </w:r>
      <w:proofErr w:type="spellStart"/>
      <w:r w:rsidRPr="001338EC">
        <w:rPr>
          <w:rFonts w:ascii="Arial" w:eastAsia="Times New Roman" w:hAnsi="Arial" w:cs="Arial"/>
          <w:lang w:eastAsia="fr-FR"/>
        </w:rPr>
        <w:t>with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Decision-Making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lang w:eastAsia="fr-FR"/>
        </w:rPr>
        <w:t>Deficits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in Suicide </w:t>
      </w:r>
      <w:proofErr w:type="spellStart"/>
      <w:r w:rsidRPr="001338EC">
        <w:rPr>
          <w:rFonts w:ascii="Arial" w:eastAsia="Times New Roman" w:hAnsi="Arial" w:cs="Arial"/>
          <w:lang w:eastAsia="fr-FR"/>
        </w:rPr>
        <w:t>Attempters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Molecular</w:t>
      </w:r>
      <w:proofErr w:type="spellEnd"/>
      <w:r w:rsidRPr="001338EC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1338EC">
        <w:rPr>
          <w:rFonts w:ascii="Arial" w:eastAsia="Times New Roman" w:hAnsi="Arial" w:cs="Arial"/>
          <w:i/>
          <w:iCs/>
          <w:lang w:eastAsia="fr-FR"/>
        </w:rPr>
        <w:t>Psychiatry</w:t>
      </w:r>
      <w:proofErr w:type="spellEnd"/>
      <w:r w:rsidRPr="001338EC">
        <w:rPr>
          <w:rFonts w:ascii="Arial" w:eastAsia="Times New Roman" w:hAnsi="Arial" w:cs="Arial"/>
          <w:lang w:eastAsia="fr-FR"/>
        </w:rPr>
        <w:t xml:space="preserve"> [en ligne]. décembre 2025. [Consulté le 6 juin 2026]. DOI </w:t>
      </w:r>
      <w:hyperlink r:id="rId25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10.21203/rs.3.rs-8194143/v1</w:t>
        </w:r>
      </w:hyperlink>
      <w:r w:rsidRPr="001338EC">
        <w:rPr>
          <w:rFonts w:ascii="Arial" w:eastAsia="Times New Roman" w:hAnsi="Arial" w:cs="Arial"/>
          <w:lang w:eastAsia="fr-FR"/>
        </w:rPr>
        <w:t xml:space="preserve">. Disponible à l’adresse : </w:t>
      </w:r>
      <w:hyperlink r:id="rId26" w:history="1">
        <w:r w:rsidRPr="001338EC">
          <w:rPr>
            <w:rStyle w:val="Lienhypertexte"/>
            <w:rFonts w:ascii="Arial" w:eastAsia="Times New Roman" w:hAnsi="Arial" w:cs="Arial"/>
            <w:color w:val="0000FF"/>
            <w:lang w:eastAsia="fr-FR"/>
          </w:rPr>
          <w:t>https://hal.science/hal-05561480</w:t>
        </w:r>
      </w:hyperlink>
    </w:p>
    <w:p w14:paraId="324907A3" w14:textId="77777777" w:rsidR="00C94AB9" w:rsidRPr="001338EC" w:rsidRDefault="00C94AB9" w:rsidP="00F704C9">
      <w:pPr>
        <w:spacing w:after="0" w:line="240" w:lineRule="auto"/>
        <w:jc w:val="both"/>
        <w:rPr>
          <w:rFonts w:ascii="Arial" w:hAnsi="Arial" w:cs="Arial"/>
        </w:rPr>
      </w:pPr>
    </w:p>
    <w:sectPr w:rsidR="00C94AB9" w:rsidRPr="001338EC" w:rsidSect="00C21212">
      <w:footerReference w:type="default" r:id="rId27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r w:rsidRPr="00CF79F1">
            <w:rPr>
              <w:rFonts w:cstheme="minorHAnsi"/>
              <w:i/>
              <w:sz w:val="18"/>
              <w:szCs w:val="18"/>
            </w:rPr>
            <w:t>Université  –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0446B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338EC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22295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B0648"/>
    <w:rsid w:val="008E4873"/>
    <w:rsid w:val="009014B9"/>
    <w:rsid w:val="009222BC"/>
    <w:rsid w:val="00952F2F"/>
    <w:rsid w:val="00976F43"/>
    <w:rsid w:val="00981DFC"/>
    <w:rsid w:val="009820D4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E1CD8"/>
    <w:rsid w:val="00EF070A"/>
    <w:rsid w:val="00F14164"/>
    <w:rsid w:val="00F1770E"/>
    <w:rsid w:val="00F268BC"/>
    <w:rsid w:val="00F26D0E"/>
    <w:rsid w:val="00F704C9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186/s41747-025-00573-2" TargetMode="External"/><Relationship Id="rId18" Type="http://schemas.openxmlformats.org/officeDocument/2006/relationships/hyperlink" Target="https://hal.science/hal-04719638" TargetMode="External"/><Relationship Id="rId26" Type="http://schemas.openxmlformats.org/officeDocument/2006/relationships/hyperlink" Target="https://hal.science/hal-055614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l.science/hal-05347377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doi.org/10.1055/s-0045-1804893" TargetMode="External"/><Relationship Id="rId17" Type="http://schemas.openxmlformats.org/officeDocument/2006/relationships/hyperlink" Target="https://doi.org/10.1055/s-0044-1788696" TargetMode="External"/><Relationship Id="rId25" Type="http://schemas.openxmlformats.org/officeDocument/2006/relationships/hyperlink" Target="https://doi.org/10.21203/rs.3.rs-8194143/v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8/s41380-024-02485-w" TargetMode="External"/><Relationship Id="rId20" Type="http://schemas.openxmlformats.org/officeDocument/2006/relationships/hyperlink" Target="https://doi.org/10.1177/2768319225138602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ynstr.2025.100776" TargetMode="External"/><Relationship Id="rId24" Type="http://schemas.openxmlformats.org/officeDocument/2006/relationships/hyperlink" Target="https://doi.org/10.1038/s41398-025-03602-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l.science/hal-05562095" TargetMode="External"/><Relationship Id="rId23" Type="http://schemas.openxmlformats.org/officeDocument/2006/relationships/hyperlink" Target="https://hal.science/hal-0556147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l.science/hal-05347112" TargetMode="External"/><Relationship Id="rId19" Type="http://schemas.openxmlformats.org/officeDocument/2006/relationships/hyperlink" Target="https://doi.org/10.1055/s-0044-17886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1808-026-00441-z" TargetMode="External"/><Relationship Id="rId14" Type="http://schemas.openxmlformats.org/officeDocument/2006/relationships/hyperlink" Target="https://doi.org/10.1007/s40065-026-00628-1" TargetMode="External"/><Relationship Id="rId22" Type="http://schemas.openxmlformats.org/officeDocument/2006/relationships/hyperlink" Target="https://doi.org/10.1177/27683192261422811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Pret 1 BU</cp:lastModifiedBy>
  <cp:revision>6</cp:revision>
  <dcterms:created xsi:type="dcterms:W3CDTF">2026-06-08T08:26:00Z</dcterms:created>
  <dcterms:modified xsi:type="dcterms:W3CDTF">2026-06-08T08:55:00Z</dcterms:modified>
</cp:coreProperties>
</file>