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77A728E6" w:rsidR="00A60283" w:rsidRDefault="00156CF6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Risques environnementaux et sûreté nucléaire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77A728E6" w:rsidR="00A60283" w:rsidRDefault="00156CF6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Risques environnementaux et 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sûreté</w:t>
                        </w:r>
                        <w:bookmarkStart w:id="1" w:name="_GoBack"/>
                        <w:bookmarkEnd w:id="1"/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nucléaire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21500705" w:rsidR="00A97535" w:rsidRDefault="00A97535" w:rsidP="0005025E">
      <w:pPr>
        <w:rPr>
          <w:rFonts w:ascii="Arial" w:hAnsi="Arial" w:cs="Arial"/>
        </w:rPr>
      </w:pPr>
    </w:p>
    <w:p w14:paraId="65100947" w14:textId="77777777" w:rsidR="00156CF6" w:rsidRPr="005B2582" w:rsidRDefault="00156CF6" w:rsidP="00156CF6">
      <w:pPr>
        <w:spacing w:line="276" w:lineRule="auto"/>
        <w:jc w:val="both"/>
      </w:pPr>
      <w:proofErr w:type="spellStart"/>
      <w:r w:rsidRPr="005B2582">
        <w:t>Amiard</w:t>
      </w:r>
      <w:proofErr w:type="spellEnd"/>
      <w:r w:rsidRPr="005B2582">
        <w:t xml:space="preserve">, Jean-Claude. (2013). </w:t>
      </w:r>
      <w:r w:rsidRPr="005B2582">
        <w:rPr>
          <w:i/>
        </w:rPr>
        <w:t>Le risque radioactif : devenir des radionucléides dans l’environnement et impacts sur la santé</w:t>
      </w:r>
      <w:r w:rsidRPr="005B2582">
        <w:t>. Paris : Tec &amp; Doc : Lavoisier. (628.535 AMI)</w:t>
      </w:r>
    </w:p>
    <w:p w14:paraId="3340CEEC" w14:textId="77777777" w:rsidR="00156CF6" w:rsidRDefault="00156CF6" w:rsidP="00156CF6">
      <w:pPr>
        <w:spacing w:line="276" w:lineRule="auto"/>
        <w:jc w:val="both"/>
      </w:pPr>
    </w:p>
    <w:p w14:paraId="584EFD50" w14:textId="77777777" w:rsidR="00156CF6" w:rsidRDefault="00156CF6" w:rsidP="00156CF6">
      <w:pPr>
        <w:spacing w:line="276" w:lineRule="auto"/>
        <w:jc w:val="both"/>
      </w:pPr>
      <w:proofErr w:type="spellStart"/>
      <w:r w:rsidRPr="005B2582">
        <w:t>Amiard</w:t>
      </w:r>
      <w:proofErr w:type="spellEnd"/>
      <w:r w:rsidRPr="005B2582">
        <w:t xml:space="preserve">, Jean-Claude. (2019). </w:t>
      </w:r>
      <w:r w:rsidRPr="005B2582">
        <w:rPr>
          <w:i/>
        </w:rPr>
        <w:t>Les accidents nucléaires militaires : conséquences environnementales, écologiques, sanitaires et sociaux-économiques. Vol. 1.</w:t>
      </w:r>
      <w:r w:rsidRPr="005B2582">
        <w:t xml:space="preserve"> London : ISTE Editions. (621.48 AMI 1)</w:t>
      </w:r>
    </w:p>
    <w:p w14:paraId="6958CE23" w14:textId="77777777" w:rsidR="00156CF6" w:rsidRDefault="00156CF6" w:rsidP="00156CF6">
      <w:pPr>
        <w:spacing w:line="276" w:lineRule="auto"/>
        <w:jc w:val="both"/>
      </w:pPr>
    </w:p>
    <w:p w14:paraId="0EE8FA05" w14:textId="77777777" w:rsidR="00156CF6" w:rsidRDefault="00156CF6" w:rsidP="00156CF6">
      <w:pPr>
        <w:spacing w:line="276" w:lineRule="auto"/>
        <w:jc w:val="both"/>
      </w:pPr>
      <w:proofErr w:type="spellStart"/>
      <w:r>
        <w:t>Amiard</w:t>
      </w:r>
      <w:proofErr w:type="spellEnd"/>
      <w:r>
        <w:t xml:space="preserve">, Jean-Claude. (2019). </w:t>
      </w:r>
      <w:r w:rsidRPr="005B2582">
        <w:rPr>
          <w:i/>
        </w:rPr>
        <w:t>Les accidents nucléaires militaires : conséquences environnementales, écologiques, sanitaires et sociaux-économiques. Vol.</w:t>
      </w:r>
      <w:r>
        <w:rPr>
          <w:i/>
        </w:rPr>
        <w:t xml:space="preserve"> 2.</w:t>
      </w:r>
      <w:r>
        <w:t xml:space="preserve"> London : ISTE Editions. (621.48 AMI 2)</w:t>
      </w:r>
      <w:r w:rsidRPr="0068650D">
        <w:t xml:space="preserve"> </w:t>
      </w:r>
    </w:p>
    <w:p w14:paraId="1ACC5B79" w14:textId="77777777" w:rsidR="00156CF6" w:rsidRDefault="00156CF6" w:rsidP="00156CF6">
      <w:pPr>
        <w:spacing w:line="276" w:lineRule="auto"/>
        <w:jc w:val="both"/>
      </w:pPr>
    </w:p>
    <w:p w14:paraId="2CDDF9A4" w14:textId="77777777" w:rsidR="00156CF6" w:rsidRDefault="00156CF6" w:rsidP="00156CF6">
      <w:pPr>
        <w:spacing w:line="276" w:lineRule="auto"/>
        <w:jc w:val="both"/>
      </w:pPr>
      <w:proofErr w:type="spellStart"/>
      <w:r w:rsidRPr="005B2582">
        <w:t>Amiard</w:t>
      </w:r>
      <w:proofErr w:type="spellEnd"/>
      <w:r w:rsidRPr="005B2582">
        <w:t xml:space="preserve">, Jean-Claude. (2020). </w:t>
      </w:r>
      <w:r w:rsidRPr="005B2582">
        <w:rPr>
          <w:i/>
        </w:rPr>
        <w:t>Les accidents nucléaires : prévention et gestion d’une crise accidentelle</w:t>
      </w:r>
      <w:r w:rsidRPr="005B2582">
        <w:t>. London : ISTE Editions. (621.48 AMI 3)</w:t>
      </w:r>
    </w:p>
    <w:p w14:paraId="5ABEC365" w14:textId="77777777" w:rsidR="00156CF6" w:rsidRDefault="00156CF6" w:rsidP="00156CF6">
      <w:pPr>
        <w:spacing w:line="276" w:lineRule="auto"/>
      </w:pPr>
    </w:p>
    <w:p w14:paraId="635AEA15" w14:textId="77777777" w:rsidR="00156CF6" w:rsidRDefault="00156CF6" w:rsidP="00156CF6">
      <w:pPr>
        <w:spacing w:line="276" w:lineRule="auto"/>
      </w:pPr>
      <w:proofErr w:type="spellStart"/>
      <w:r>
        <w:t>Amiard</w:t>
      </w:r>
      <w:proofErr w:type="spellEnd"/>
      <w:r>
        <w:t xml:space="preserve">, Jean-Claude. (2022). </w:t>
      </w:r>
      <w:r>
        <w:rPr>
          <w:i/>
        </w:rPr>
        <w:t xml:space="preserve">La gestion des déchets radioactifs. </w:t>
      </w:r>
      <w:r>
        <w:t>London : ISTE Editions. (621.48 AMI 5)</w:t>
      </w:r>
    </w:p>
    <w:p w14:paraId="31D31327" w14:textId="77777777" w:rsidR="00156CF6" w:rsidRDefault="00156CF6" w:rsidP="00156CF6">
      <w:pPr>
        <w:spacing w:line="276" w:lineRule="auto"/>
      </w:pPr>
    </w:p>
    <w:p w14:paraId="09928BC0" w14:textId="77777777" w:rsidR="00156CF6" w:rsidRDefault="00156CF6" w:rsidP="00156CF6">
      <w:pPr>
        <w:spacing w:line="276" w:lineRule="auto"/>
      </w:pPr>
      <w:r>
        <w:t>Ancel-</w:t>
      </w:r>
      <w:proofErr w:type="spellStart"/>
      <w:r>
        <w:t>Gery</w:t>
      </w:r>
      <w:proofErr w:type="spellEnd"/>
      <w:r>
        <w:t xml:space="preserve">, Géraldine, </w:t>
      </w:r>
      <w:proofErr w:type="spellStart"/>
      <w:r>
        <w:t>Carenco</w:t>
      </w:r>
      <w:proofErr w:type="spellEnd"/>
      <w:r>
        <w:t xml:space="preserve">, Nathalie, </w:t>
      </w:r>
      <w:proofErr w:type="spellStart"/>
      <w:r>
        <w:t>Decarre</w:t>
      </w:r>
      <w:proofErr w:type="spellEnd"/>
      <w:r>
        <w:t xml:space="preserve"> Geneviève, Jousselin-Misery, Pascale, Robin, Jean-Paul, Renouard, Gilles. (2015). </w:t>
      </w:r>
      <w:r>
        <w:rPr>
          <w:i/>
        </w:rPr>
        <w:t>50 fiches pour comprendre le changement climatique.</w:t>
      </w:r>
      <w:r>
        <w:t xml:space="preserve"> Levallois-Perret : Bréal. (333.7 CIN)</w:t>
      </w:r>
    </w:p>
    <w:p w14:paraId="5607EA4A" w14:textId="77777777" w:rsidR="00156CF6" w:rsidRDefault="00156CF6" w:rsidP="00156CF6">
      <w:pPr>
        <w:spacing w:line="276" w:lineRule="auto"/>
      </w:pPr>
    </w:p>
    <w:p w14:paraId="08B3F2CD" w14:textId="77777777" w:rsidR="00156CF6" w:rsidRDefault="00156CF6" w:rsidP="00156CF6">
      <w:pPr>
        <w:spacing w:line="276" w:lineRule="auto"/>
      </w:pPr>
      <w:r>
        <w:t xml:space="preserve">Barré, Bertrand, </w:t>
      </w:r>
      <w:proofErr w:type="spellStart"/>
      <w:r>
        <w:t>Merenne-Schoumaker</w:t>
      </w:r>
      <w:proofErr w:type="spellEnd"/>
      <w:r>
        <w:t xml:space="preserve">, Bernadette, </w:t>
      </w:r>
      <w:proofErr w:type="spellStart"/>
      <w:r>
        <w:t>Baily</w:t>
      </w:r>
      <w:proofErr w:type="spellEnd"/>
      <w:r>
        <w:t xml:space="preserve">, Anne. (2015). </w:t>
      </w:r>
      <w:r>
        <w:rPr>
          <w:i/>
        </w:rPr>
        <w:t xml:space="preserve">Atlas des énergies mondiales : quels choix pour </w:t>
      </w:r>
      <w:proofErr w:type="gramStart"/>
      <w:r>
        <w:rPr>
          <w:i/>
        </w:rPr>
        <w:t>demain ?.</w:t>
      </w:r>
      <w:proofErr w:type="gramEnd"/>
      <w:r>
        <w:rPr>
          <w:i/>
        </w:rPr>
        <w:t xml:space="preserve"> </w:t>
      </w:r>
      <w:r>
        <w:t>Paris : Autrement. (912 BAR)</w:t>
      </w:r>
    </w:p>
    <w:p w14:paraId="7A7654BF" w14:textId="77777777" w:rsidR="00156CF6" w:rsidRDefault="00156CF6" w:rsidP="00156CF6">
      <w:pPr>
        <w:spacing w:line="276" w:lineRule="auto"/>
      </w:pPr>
    </w:p>
    <w:p w14:paraId="289E1F05" w14:textId="77777777" w:rsidR="00156CF6" w:rsidRDefault="00156CF6" w:rsidP="00156CF6">
      <w:pPr>
        <w:spacing w:line="276" w:lineRule="auto"/>
      </w:pPr>
      <w:proofErr w:type="spellStart"/>
      <w:r>
        <w:t>Bentaïb</w:t>
      </w:r>
      <w:proofErr w:type="spellEnd"/>
      <w:r>
        <w:t xml:space="preserve">, Ahmed, Bonneville, Hervé, </w:t>
      </w:r>
      <w:proofErr w:type="spellStart"/>
      <w:r>
        <w:t>Cénérino</w:t>
      </w:r>
      <w:proofErr w:type="spellEnd"/>
      <w:r>
        <w:t xml:space="preserve">, Gérard, Institut de Radioprotection et de Sûreté Nucléaire (IRSN), </w:t>
      </w:r>
      <w:proofErr w:type="spellStart"/>
      <w:r>
        <w:t>Jacquemain</w:t>
      </w:r>
      <w:proofErr w:type="spellEnd"/>
      <w:r>
        <w:t xml:space="preserve">, Didier, </w:t>
      </w:r>
      <w:proofErr w:type="spellStart"/>
      <w:r>
        <w:t>Repussard</w:t>
      </w:r>
      <w:proofErr w:type="spellEnd"/>
      <w:r>
        <w:t xml:space="preserve">, Jacques. (2013). </w:t>
      </w:r>
      <w:r>
        <w:rPr>
          <w:i/>
        </w:rPr>
        <w:t>Les accidents de fusion du cœur des réacteur nucléaires de puissance : état des connaissances.</w:t>
      </w:r>
      <w:r>
        <w:t xml:space="preserve"> Les Ulis : EDP Sciences. (621.48 ACC)</w:t>
      </w:r>
    </w:p>
    <w:p w14:paraId="5518D191" w14:textId="77777777" w:rsidR="00156CF6" w:rsidRDefault="00156CF6" w:rsidP="00156CF6">
      <w:pPr>
        <w:spacing w:line="276" w:lineRule="auto"/>
      </w:pPr>
    </w:p>
    <w:p w14:paraId="342C7DD8" w14:textId="77777777" w:rsidR="00156CF6" w:rsidRPr="00C61981" w:rsidRDefault="00156CF6" w:rsidP="00156CF6">
      <w:pPr>
        <w:spacing w:line="276" w:lineRule="auto"/>
      </w:pPr>
      <w:r>
        <w:t>Bonin, Bernard, Klein, Étienne. (2012)</w:t>
      </w:r>
      <w:r>
        <w:rPr>
          <w:i/>
        </w:rPr>
        <w:t>. Le nucléaire expliqué par des physiciens.</w:t>
      </w:r>
      <w:r>
        <w:t xml:space="preserve"> Les Ulis Essonne : EDP Sciences. (539.7 NUC)</w:t>
      </w:r>
    </w:p>
    <w:p w14:paraId="29E49CF7" w14:textId="77777777" w:rsidR="00156CF6" w:rsidRDefault="00156CF6" w:rsidP="00156CF6">
      <w:pPr>
        <w:spacing w:line="276" w:lineRule="auto"/>
      </w:pPr>
    </w:p>
    <w:p w14:paraId="42666CDF" w14:textId="77777777" w:rsidR="00156CF6" w:rsidRDefault="00156CF6" w:rsidP="00156CF6">
      <w:pPr>
        <w:spacing w:line="276" w:lineRule="auto"/>
      </w:pPr>
      <w:r>
        <w:lastRenderedPageBreak/>
        <w:t xml:space="preserve">Boulanger, Philippe. (2015). </w:t>
      </w:r>
      <w:r>
        <w:rPr>
          <w:i/>
        </w:rPr>
        <w:t>Géographie militaire et géostratégie : enjeux et crises du monde contemporain.</w:t>
      </w:r>
      <w:r>
        <w:t xml:space="preserve"> Malakoff : Armand Colin. (910. 132 BOU)</w:t>
      </w:r>
    </w:p>
    <w:p w14:paraId="6E6B893D" w14:textId="77777777" w:rsidR="00156CF6" w:rsidRDefault="00156CF6" w:rsidP="00156CF6">
      <w:pPr>
        <w:spacing w:line="276" w:lineRule="auto"/>
      </w:pPr>
    </w:p>
    <w:p w14:paraId="2E7CEE62" w14:textId="77777777" w:rsidR="00156CF6" w:rsidRDefault="00156CF6" w:rsidP="00156CF6">
      <w:pPr>
        <w:spacing w:line="276" w:lineRule="auto"/>
      </w:pPr>
      <w:r>
        <w:t xml:space="preserve">CHROME Nîmes, Pontier, Jean-Marie, Jaeger, Laura, </w:t>
      </w:r>
      <w:proofErr w:type="spellStart"/>
      <w:r>
        <w:t>Denolle</w:t>
      </w:r>
      <w:proofErr w:type="spellEnd"/>
      <w:r>
        <w:t xml:space="preserve">, Anne-Sophie. (2019). </w:t>
      </w:r>
      <w:r>
        <w:rPr>
          <w:i/>
        </w:rPr>
        <w:t xml:space="preserve">Droit nucléaire : la santé environnementale : journée d’étude du 18 octobre 2018. </w:t>
      </w:r>
      <w:r>
        <w:t>Aix-en-Provence : Presses universitaires d’Aix-Marseille. (344.046 UNI)</w:t>
      </w:r>
    </w:p>
    <w:p w14:paraId="09D1FDF2" w14:textId="77777777" w:rsidR="00156CF6" w:rsidRDefault="00156CF6" w:rsidP="00156CF6">
      <w:pPr>
        <w:spacing w:line="276" w:lineRule="auto"/>
      </w:pPr>
    </w:p>
    <w:p w14:paraId="5807E64F" w14:textId="77777777" w:rsidR="00156CF6" w:rsidRDefault="00156CF6" w:rsidP="00156CF6">
      <w:pPr>
        <w:spacing w:line="276" w:lineRule="auto"/>
      </w:pPr>
      <w:r>
        <w:t xml:space="preserve">Colloque Droits et contentieux du nucléaire (11 ; Nîmes ; 2022), CHROME Nîmes, </w:t>
      </w:r>
      <w:proofErr w:type="spellStart"/>
      <w:r>
        <w:t>Teles</w:t>
      </w:r>
      <w:proofErr w:type="spellEnd"/>
      <w:r>
        <w:t xml:space="preserve"> Da Silva, </w:t>
      </w:r>
      <w:proofErr w:type="spellStart"/>
      <w:r>
        <w:t>Dhiego</w:t>
      </w:r>
      <w:proofErr w:type="spellEnd"/>
      <w:r>
        <w:t xml:space="preserve">, </w:t>
      </w:r>
      <w:proofErr w:type="spellStart"/>
      <w:r>
        <w:t>Thireau</w:t>
      </w:r>
      <w:proofErr w:type="spellEnd"/>
      <w:r>
        <w:t xml:space="preserve">, Véronique, </w:t>
      </w:r>
      <w:proofErr w:type="spellStart"/>
      <w:r>
        <w:t>Monteillet</w:t>
      </w:r>
      <w:proofErr w:type="spellEnd"/>
      <w:r>
        <w:t xml:space="preserve">, Vanessa. (2023). </w:t>
      </w:r>
      <w:r>
        <w:rPr>
          <w:i/>
        </w:rPr>
        <w:t>Droit et contentieux du nucléaire : la perception et les représentations du risque</w:t>
      </w:r>
      <w:r>
        <w:t>. Aix-en-Provence : Presses Universitaires d’Aix-Marseille. (363. 17 DRO)</w:t>
      </w:r>
    </w:p>
    <w:p w14:paraId="421B43C9" w14:textId="77777777" w:rsidR="00156CF6" w:rsidRDefault="00156CF6" w:rsidP="00156CF6">
      <w:pPr>
        <w:spacing w:line="276" w:lineRule="auto"/>
      </w:pPr>
    </w:p>
    <w:p w14:paraId="2B043CC1" w14:textId="77777777" w:rsidR="00156CF6" w:rsidRDefault="00156CF6" w:rsidP="00156CF6">
      <w:pPr>
        <w:spacing w:line="276" w:lineRule="auto"/>
      </w:pPr>
      <w:r>
        <w:t xml:space="preserve">Couturier, Jean, Niel, Jean-Christophe. (2020). </w:t>
      </w:r>
      <w:r>
        <w:rPr>
          <w:i/>
        </w:rPr>
        <w:t>Éléments de sûreté nucléaire : les réacteurs à eau sous pression</w:t>
      </w:r>
      <w:r>
        <w:t>. Les Ulis : EDP Sciences (621.483 ELE)</w:t>
      </w:r>
    </w:p>
    <w:p w14:paraId="5C9B7D92" w14:textId="77777777" w:rsidR="00156CF6" w:rsidRDefault="00156CF6" w:rsidP="00156CF6">
      <w:pPr>
        <w:spacing w:line="276" w:lineRule="auto"/>
      </w:pPr>
    </w:p>
    <w:p w14:paraId="542D327D" w14:textId="77777777" w:rsidR="00156CF6" w:rsidRDefault="00156CF6" w:rsidP="00156CF6">
      <w:pPr>
        <w:spacing w:line="276" w:lineRule="auto"/>
      </w:pPr>
      <w:r>
        <w:t xml:space="preserve">Dejean, Édith ; Cans, Chantal ; </w:t>
      </w:r>
      <w:proofErr w:type="spellStart"/>
      <w:r>
        <w:t>Makowiak</w:t>
      </w:r>
      <w:proofErr w:type="spellEnd"/>
      <w:r>
        <w:t xml:space="preserve">, Jessica, Jolivet, Simon. (2025). </w:t>
      </w:r>
      <w:r>
        <w:rPr>
          <w:i/>
        </w:rPr>
        <w:t>Code de l’environnement : annoté &amp; commenté</w:t>
      </w:r>
      <w:r>
        <w:t>. Paris : Dalloz : Lefebvre Dalloz. (348 ENV)</w:t>
      </w:r>
    </w:p>
    <w:p w14:paraId="64F6C731" w14:textId="77777777" w:rsidR="00156CF6" w:rsidRDefault="00156CF6" w:rsidP="00156CF6">
      <w:pPr>
        <w:spacing w:line="276" w:lineRule="auto"/>
      </w:pPr>
    </w:p>
    <w:p w14:paraId="6A447E36" w14:textId="77777777" w:rsidR="00156CF6" w:rsidRDefault="00156CF6" w:rsidP="00156CF6">
      <w:pPr>
        <w:spacing w:line="276" w:lineRule="auto"/>
      </w:pPr>
      <w:r>
        <w:t xml:space="preserve">Delacroix, Daniel, Guerre, Jean-Paul, Leblanc, Paul, Delacroix, Daniel, </w:t>
      </w:r>
      <w:proofErr w:type="spellStart"/>
      <w:r>
        <w:t>Guillois</w:t>
      </w:r>
      <w:proofErr w:type="spellEnd"/>
      <w:r>
        <w:t xml:space="preserve">, Francis. (2022). </w:t>
      </w:r>
      <w:r>
        <w:rPr>
          <w:i/>
        </w:rPr>
        <w:t>Radionucléides &amp; radioprotection : guide pratique : manuel pour la manipulation de substances radioactives dans les laboratoires de faible et moyenne activité.</w:t>
      </w:r>
      <w:r>
        <w:t xml:space="preserve"> Les Ulis : EDP Sciences. (628.535 DEL)</w:t>
      </w:r>
    </w:p>
    <w:p w14:paraId="60AACE88" w14:textId="77777777" w:rsidR="00156CF6" w:rsidRDefault="00156CF6" w:rsidP="00156CF6">
      <w:pPr>
        <w:spacing w:line="276" w:lineRule="auto"/>
      </w:pPr>
    </w:p>
    <w:p w14:paraId="13C22D59" w14:textId="77777777" w:rsidR="00156CF6" w:rsidRDefault="00156CF6" w:rsidP="00156CF6">
      <w:pPr>
        <w:spacing w:line="276" w:lineRule="auto"/>
      </w:pPr>
      <w:proofErr w:type="spellStart"/>
      <w:r>
        <w:t>Endeweld</w:t>
      </w:r>
      <w:proofErr w:type="spellEnd"/>
      <w:r>
        <w:t xml:space="preserve">, Marc. (2022). </w:t>
      </w:r>
      <w:r>
        <w:rPr>
          <w:i/>
        </w:rPr>
        <w:t>Guerres cachées : les dessous du conflit russo-ukrainien</w:t>
      </w:r>
      <w:r>
        <w:t>. Paris : Éditions du Seuil. (327.47 END)</w:t>
      </w:r>
    </w:p>
    <w:p w14:paraId="1B525F10" w14:textId="77777777" w:rsidR="00156CF6" w:rsidRDefault="00156CF6" w:rsidP="00156CF6">
      <w:pPr>
        <w:spacing w:line="276" w:lineRule="auto"/>
      </w:pPr>
    </w:p>
    <w:p w14:paraId="4215B756" w14:textId="77777777" w:rsidR="00156CF6" w:rsidRDefault="00156CF6" w:rsidP="00156CF6">
      <w:pPr>
        <w:spacing w:line="276" w:lineRule="auto"/>
      </w:pPr>
      <w:r>
        <w:t xml:space="preserve">Flichy de la Neuville, Thomas. (2023). </w:t>
      </w:r>
      <w:r>
        <w:rPr>
          <w:i/>
        </w:rPr>
        <w:t>Nouvelle géopolitique de l’énergie nucléaire.</w:t>
      </w:r>
      <w:r>
        <w:t xml:space="preserve"> </w:t>
      </w:r>
      <w:proofErr w:type="spellStart"/>
      <w:r>
        <w:t>Hunningue</w:t>
      </w:r>
      <w:proofErr w:type="spellEnd"/>
      <w:r>
        <w:t> : Presses universitaires Rhin &amp; Danube. (333.79 FLI)</w:t>
      </w:r>
    </w:p>
    <w:p w14:paraId="562745DE" w14:textId="77777777" w:rsidR="00156CF6" w:rsidRDefault="00156CF6" w:rsidP="00156CF6">
      <w:pPr>
        <w:spacing w:line="276" w:lineRule="auto"/>
      </w:pPr>
    </w:p>
    <w:p w14:paraId="3BB03781" w14:textId="31B78208" w:rsidR="00156CF6" w:rsidRDefault="00156CF6" w:rsidP="00156CF6">
      <w:pPr>
        <w:spacing w:line="276" w:lineRule="auto"/>
      </w:pPr>
      <w:r>
        <w:t xml:space="preserve">Gallois, Flore. (2022). </w:t>
      </w:r>
      <w:r>
        <w:rPr>
          <w:i/>
        </w:rPr>
        <w:t>Les 100 concepts de la géopolitique</w:t>
      </w:r>
      <w:r>
        <w:t>. Paris : Ellipses. (327 GAL)</w:t>
      </w:r>
    </w:p>
    <w:p w14:paraId="68044BD7" w14:textId="07DE5645" w:rsidR="003903B5" w:rsidRDefault="003903B5" w:rsidP="00156CF6">
      <w:pPr>
        <w:spacing w:line="276" w:lineRule="auto"/>
      </w:pPr>
    </w:p>
    <w:p w14:paraId="77A03C67" w14:textId="1CB1E27F" w:rsidR="003903B5" w:rsidRDefault="003903B5" w:rsidP="00156CF6">
      <w:pPr>
        <w:spacing w:line="276" w:lineRule="auto"/>
      </w:pPr>
      <w:proofErr w:type="spellStart"/>
      <w:r>
        <w:t>Gaulène</w:t>
      </w:r>
      <w:proofErr w:type="spellEnd"/>
      <w:r>
        <w:t xml:space="preserve">, Mathieu. </w:t>
      </w:r>
      <w:r>
        <w:t xml:space="preserve">(2016). </w:t>
      </w:r>
      <w:r>
        <w:rPr>
          <w:i/>
          <w:iCs/>
        </w:rPr>
        <w:t>Le nucléaire en Asie : Fukushima et après ?</w:t>
      </w:r>
      <w:r>
        <w:t xml:space="preserve"> Arles</w:t>
      </w:r>
      <w:r w:rsidR="00EB2A76">
        <w:t xml:space="preserve"> </w:t>
      </w:r>
      <w:bookmarkStart w:id="0" w:name="_GoBack"/>
      <w:bookmarkEnd w:id="0"/>
      <w:r>
        <w:t xml:space="preserve">: Éditions Philippe </w:t>
      </w:r>
      <w:proofErr w:type="spellStart"/>
      <w:r>
        <w:t>Picquier</w:t>
      </w:r>
      <w:proofErr w:type="spellEnd"/>
      <w:r>
        <w:t>. (363.17 GAU)</w:t>
      </w:r>
    </w:p>
    <w:p w14:paraId="724E323E" w14:textId="77777777" w:rsidR="00156CF6" w:rsidRDefault="00156CF6" w:rsidP="00156CF6">
      <w:pPr>
        <w:spacing w:line="276" w:lineRule="auto"/>
      </w:pPr>
    </w:p>
    <w:p w14:paraId="3CEA6152" w14:textId="77777777" w:rsidR="00156CF6" w:rsidRDefault="00156CF6" w:rsidP="00156CF6">
      <w:pPr>
        <w:spacing w:line="276" w:lineRule="auto"/>
      </w:pPr>
      <w:proofErr w:type="spellStart"/>
      <w:r>
        <w:t>Gomart</w:t>
      </w:r>
      <w:proofErr w:type="spellEnd"/>
      <w:r>
        <w:t xml:space="preserve">, Thomas. (2025). </w:t>
      </w:r>
      <w:r>
        <w:rPr>
          <w:i/>
        </w:rPr>
        <w:t>L’accélération de l’histoire : les nœuds géostratégiques d’un monde hors de contrôle</w:t>
      </w:r>
      <w:r>
        <w:t>. Paris : Tallandier. (327 GOM)</w:t>
      </w:r>
    </w:p>
    <w:p w14:paraId="06A456BE" w14:textId="77777777" w:rsidR="00156CF6" w:rsidRDefault="00156CF6" w:rsidP="00156CF6">
      <w:pPr>
        <w:spacing w:line="276" w:lineRule="auto"/>
      </w:pPr>
    </w:p>
    <w:p w14:paraId="69A0633B" w14:textId="77777777" w:rsidR="00156CF6" w:rsidRDefault="00156CF6" w:rsidP="00156CF6">
      <w:pPr>
        <w:spacing w:line="276" w:lineRule="auto"/>
      </w:pPr>
      <w:r>
        <w:t xml:space="preserve">Hansen, Jean-Pierre, </w:t>
      </w:r>
      <w:proofErr w:type="spellStart"/>
      <w:r>
        <w:t>Percebois</w:t>
      </w:r>
      <w:proofErr w:type="spellEnd"/>
      <w:r>
        <w:t xml:space="preserve">, Jacques, Boiteux, Marcel, Tirole, Jean. (2015). </w:t>
      </w:r>
      <w:r>
        <w:rPr>
          <w:i/>
        </w:rPr>
        <w:t>Énergie : économie et politiques</w:t>
      </w:r>
      <w:r>
        <w:t>. Louvain-la-Neuve : De Boeck. (333.79 HAN)</w:t>
      </w:r>
    </w:p>
    <w:p w14:paraId="490BAEB7" w14:textId="77777777" w:rsidR="00156CF6" w:rsidRDefault="00156CF6" w:rsidP="00156CF6">
      <w:pPr>
        <w:spacing w:line="276" w:lineRule="auto"/>
      </w:pPr>
    </w:p>
    <w:p w14:paraId="603A8BFA" w14:textId="77777777" w:rsidR="00156CF6" w:rsidRDefault="00156CF6" w:rsidP="00156CF6">
      <w:pPr>
        <w:spacing w:line="276" w:lineRule="auto"/>
      </w:pPr>
      <w:r>
        <w:t xml:space="preserve">Institut de radioprotection et de sûreté nucléaire France. (2012). </w:t>
      </w:r>
      <w:r>
        <w:rPr>
          <w:i/>
        </w:rPr>
        <w:t>Fukushima, un an après : Comprendre l’accident et en tirer les leçons</w:t>
      </w:r>
      <w:r>
        <w:t>. Fontenay-aux-Roses : Institut de radioprotection et de sûreté nucléaire. (D 604. 7 FUK)</w:t>
      </w:r>
    </w:p>
    <w:p w14:paraId="4118EC6F" w14:textId="77777777" w:rsidR="00156CF6" w:rsidRDefault="00156CF6" w:rsidP="00156CF6">
      <w:pPr>
        <w:spacing w:line="276" w:lineRule="auto"/>
      </w:pPr>
    </w:p>
    <w:p w14:paraId="74332667" w14:textId="77777777" w:rsidR="00156CF6" w:rsidRDefault="00156CF6" w:rsidP="00156CF6">
      <w:pPr>
        <w:spacing w:line="276" w:lineRule="auto"/>
      </w:pPr>
      <w:r>
        <w:t xml:space="preserve">Marchand, Dorothée, </w:t>
      </w:r>
      <w:proofErr w:type="spellStart"/>
      <w:r>
        <w:t>Depeau</w:t>
      </w:r>
      <w:proofErr w:type="spellEnd"/>
      <w:r>
        <w:t>, Sandrine, Weiss, Karine.</w:t>
      </w:r>
      <w:r>
        <w:rPr>
          <w:i/>
        </w:rPr>
        <w:t xml:space="preserve"> </w:t>
      </w:r>
      <w:r>
        <w:t xml:space="preserve">(2014). </w:t>
      </w:r>
      <w:r>
        <w:rPr>
          <w:i/>
        </w:rPr>
        <w:t>L’individu au risque de l’environnement : regards croisés de la psychologie environnementale</w:t>
      </w:r>
      <w:r>
        <w:t xml:space="preserve">. Paris : In </w:t>
      </w:r>
      <w:proofErr w:type="spellStart"/>
      <w:r>
        <w:t>press</w:t>
      </w:r>
      <w:proofErr w:type="spellEnd"/>
      <w:r>
        <w:t xml:space="preserve"> (155.91 IND)</w:t>
      </w:r>
    </w:p>
    <w:p w14:paraId="69553394" w14:textId="77777777" w:rsidR="00156CF6" w:rsidRDefault="00156CF6" w:rsidP="00156CF6">
      <w:pPr>
        <w:spacing w:line="276" w:lineRule="auto"/>
      </w:pPr>
    </w:p>
    <w:p w14:paraId="04A89FD8" w14:textId="77777777" w:rsidR="00156CF6" w:rsidRPr="00FD04A2" w:rsidRDefault="00156CF6" w:rsidP="00156CF6">
      <w:pPr>
        <w:spacing w:line="276" w:lineRule="auto"/>
      </w:pPr>
      <w:proofErr w:type="spellStart"/>
      <w:r>
        <w:t>Merad</w:t>
      </w:r>
      <w:proofErr w:type="spellEnd"/>
      <w:r>
        <w:t xml:space="preserve">, Myriam </w:t>
      </w:r>
      <w:proofErr w:type="spellStart"/>
      <w:r>
        <w:t>Mokhtari</w:t>
      </w:r>
      <w:proofErr w:type="spellEnd"/>
      <w:r>
        <w:t xml:space="preserve">, Dechy, Nicolas, </w:t>
      </w:r>
      <w:proofErr w:type="spellStart"/>
      <w:r>
        <w:t>Dehouck</w:t>
      </w:r>
      <w:proofErr w:type="spellEnd"/>
      <w:r>
        <w:t>, Laurent. (2016)</w:t>
      </w:r>
      <w:r>
        <w:rPr>
          <w:i/>
        </w:rPr>
        <w:t xml:space="preserve">. Risques majeurs : incertitudes et décisions : approche pluridisciplinaire et multisectorielle. </w:t>
      </w:r>
      <w:r>
        <w:t>Paris : MA Editions. (363. 349 MER)</w:t>
      </w:r>
    </w:p>
    <w:p w14:paraId="5408C43C" w14:textId="77777777" w:rsidR="00156CF6" w:rsidRDefault="00156CF6" w:rsidP="00156CF6">
      <w:pPr>
        <w:spacing w:line="276" w:lineRule="auto"/>
      </w:pPr>
    </w:p>
    <w:p w14:paraId="6F5D166C" w14:textId="77777777" w:rsidR="00156CF6" w:rsidRPr="00FD04A2" w:rsidRDefault="00156CF6" w:rsidP="00156CF6">
      <w:pPr>
        <w:spacing w:line="276" w:lineRule="auto"/>
      </w:pPr>
      <w:r>
        <w:t xml:space="preserve">Meyer, </w:t>
      </w:r>
      <w:proofErr w:type="spellStart"/>
      <w:r>
        <w:t>Teva</w:t>
      </w:r>
      <w:proofErr w:type="spellEnd"/>
      <w:r>
        <w:t xml:space="preserve">. (2023). </w:t>
      </w:r>
      <w:r>
        <w:rPr>
          <w:i/>
        </w:rPr>
        <w:t>Géopolitique du nucléaire : pouvoir et puissance d’un industrie duale.</w:t>
      </w:r>
      <w:r>
        <w:t xml:space="preserve"> Paris : Le Cavalier bleu éditions. (327.174 MEY)</w:t>
      </w:r>
    </w:p>
    <w:p w14:paraId="61322B43" w14:textId="77777777" w:rsidR="00156CF6" w:rsidRDefault="00156CF6" w:rsidP="00156CF6">
      <w:pPr>
        <w:spacing w:line="276" w:lineRule="auto"/>
      </w:pPr>
      <w:proofErr w:type="spellStart"/>
      <w:r>
        <w:t>Pessis</w:t>
      </w:r>
      <w:proofErr w:type="spellEnd"/>
      <w:r>
        <w:t xml:space="preserve">, Céline, </w:t>
      </w:r>
      <w:proofErr w:type="spellStart"/>
      <w:r>
        <w:t>Topcu</w:t>
      </w:r>
      <w:proofErr w:type="spellEnd"/>
      <w:r>
        <w:t xml:space="preserve">, </w:t>
      </w:r>
      <w:proofErr w:type="spellStart"/>
      <w:r>
        <w:t>Sezin</w:t>
      </w:r>
      <w:proofErr w:type="spellEnd"/>
      <w:r>
        <w:t xml:space="preserve">, Bonneuil, Christophe. (2016). </w:t>
      </w:r>
      <w:r>
        <w:rPr>
          <w:i/>
        </w:rPr>
        <w:t>Une autre histoire des « Trente Glorieuses » : modernisation, contestations et pollutions dans la France d’après-guerre</w:t>
      </w:r>
      <w:r>
        <w:t>. Paris : La Découverte. (944.082 PES)</w:t>
      </w:r>
    </w:p>
    <w:p w14:paraId="5CB29742" w14:textId="77777777" w:rsidR="00156CF6" w:rsidRDefault="00156CF6" w:rsidP="00156CF6">
      <w:pPr>
        <w:spacing w:line="276" w:lineRule="auto"/>
      </w:pPr>
    </w:p>
    <w:p w14:paraId="4A61AAB9" w14:textId="77777777" w:rsidR="00156CF6" w:rsidRDefault="00156CF6" w:rsidP="00156CF6">
      <w:pPr>
        <w:spacing w:line="276" w:lineRule="auto"/>
      </w:pPr>
      <w:r>
        <w:t xml:space="preserve">Renaud, Philippe ; Champion, Didier, </w:t>
      </w:r>
      <w:proofErr w:type="spellStart"/>
      <w:r>
        <w:t>Brenot</w:t>
      </w:r>
      <w:proofErr w:type="spellEnd"/>
      <w:r>
        <w:t xml:space="preserve">, Jean, Institut de Radioprotection et de Sûreté Nucléaire (IRSN). (2007).  </w:t>
      </w:r>
      <w:r>
        <w:rPr>
          <w:i/>
        </w:rPr>
        <w:t>Les retombées radioactives de l’accident de Tchernobyl sur le territoire français : conséquences environnementales et exposition des personnes.</w:t>
      </w:r>
      <w:r>
        <w:t xml:space="preserve"> Paris : Tech &amp; Doc. (303.485 REN)</w:t>
      </w:r>
    </w:p>
    <w:p w14:paraId="1FDF5CB1" w14:textId="77777777" w:rsidR="00156CF6" w:rsidRDefault="00156CF6" w:rsidP="00156CF6">
      <w:pPr>
        <w:spacing w:line="276" w:lineRule="auto"/>
      </w:pPr>
    </w:p>
    <w:p w14:paraId="56F3B1D7" w14:textId="77777777" w:rsidR="00156CF6" w:rsidRDefault="00156CF6" w:rsidP="00156CF6">
      <w:pPr>
        <w:spacing w:line="276" w:lineRule="auto"/>
      </w:pPr>
      <w:proofErr w:type="spellStart"/>
      <w:r>
        <w:t>Reghezza-Zitt</w:t>
      </w:r>
      <w:proofErr w:type="spellEnd"/>
      <w:r>
        <w:t xml:space="preserve">, Magali. (2023). </w:t>
      </w:r>
      <w:r>
        <w:rPr>
          <w:i/>
        </w:rPr>
        <w:t>L’anthropocène</w:t>
      </w:r>
      <w:r>
        <w:t>. Paris : CNRS Éditions. (770.5 DOC)</w:t>
      </w:r>
    </w:p>
    <w:p w14:paraId="5DFA6024" w14:textId="77777777" w:rsidR="00156CF6" w:rsidRPr="00C30536" w:rsidRDefault="00156CF6" w:rsidP="00156CF6">
      <w:pPr>
        <w:spacing w:line="276" w:lineRule="auto"/>
      </w:pPr>
      <w:r>
        <w:t xml:space="preserve">Sorin, Francis. (2015). </w:t>
      </w:r>
      <w:r>
        <w:rPr>
          <w:i/>
        </w:rPr>
        <w:t>Déchets nucléaires : où est le problème ?</w:t>
      </w:r>
      <w:r>
        <w:t xml:space="preserve"> Les Ulis : EDP Sciences. (628.535 SOR) </w:t>
      </w:r>
    </w:p>
    <w:p w14:paraId="162A050A" w14:textId="77777777" w:rsidR="00156CF6" w:rsidRDefault="00156CF6" w:rsidP="0005025E">
      <w:pPr>
        <w:rPr>
          <w:rFonts w:ascii="Arial" w:hAnsi="Arial" w:cs="Arial"/>
        </w:rPr>
      </w:pPr>
    </w:p>
    <w:sectPr w:rsidR="00156CF6" w:rsidSect="00C21212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50EA6" w14:textId="77777777" w:rsidR="00435D5F" w:rsidRDefault="00435D5F" w:rsidP="00A27461">
      <w:pPr>
        <w:spacing w:after="0" w:line="240" w:lineRule="auto"/>
      </w:pPr>
      <w:r>
        <w:separator/>
      </w:r>
    </w:p>
  </w:endnote>
  <w:endnote w:type="continuationSeparator" w:id="0">
    <w:p w14:paraId="375C91F5" w14:textId="77777777" w:rsidR="00435D5F" w:rsidRDefault="00435D5F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34E0" w14:textId="77777777" w:rsidR="00435D5F" w:rsidRDefault="00435D5F" w:rsidP="00A27461">
      <w:pPr>
        <w:spacing w:after="0" w:line="240" w:lineRule="auto"/>
      </w:pPr>
      <w:r>
        <w:separator/>
      </w:r>
    </w:p>
  </w:footnote>
  <w:footnote w:type="continuationSeparator" w:id="0">
    <w:p w14:paraId="0A2B34BF" w14:textId="77777777" w:rsidR="00435D5F" w:rsidRDefault="00435D5F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3903B5"/>
    <w:rsid w:val="00435D5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13100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2A76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4</cp:revision>
  <dcterms:created xsi:type="dcterms:W3CDTF">2026-02-11T20:55:00Z</dcterms:created>
  <dcterms:modified xsi:type="dcterms:W3CDTF">2026-02-11T20:57:00Z</dcterms:modified>
</cp:coreProperties>
</file>