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841F2F">
      <w:pPr>
        <w:pStyle w:val="Titre2"/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fr-FR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9F6B8A8" w:rsidR="00A60283" w:rsidRPr="00A60283" w:rsidRDefault="00F013C4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Eloquence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 w:rsidR="00E46A3A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  <w:lang w:eastAsia="fr-FR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9F6B8A8" w:rsidR="00A60283" w:rsidRPr="00A60283" w:rsidRDefault="00F013C4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Eloquence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 : </w:t>
                        </w:r>
                        <w:r w:rsidR="00E46A3A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00B93D" w:rsidR="0005025E" w:rsidRDefault="0005025E" w:rsidP="0005025E">
      <w:pPr>
        <w:rPr>
          <w:rFonts w:ascii="Arial" w:hAnsi="Arial" w:cs="Arial"/>
        </w:rPr>
      </w:pPr>
    </w:p>
    <w:p w14:paraId="71CF4162" w14:textId="370C3FEB" w:rsidR="00E46A3A" w:rsidRDefault="00E46A3A" w:rsidP="0005025E">
      <w:pPr>
        <w:rPr>
          <w:rFonts w:ascii="Arial" w:hAnsi="Arial" w:cs="Arial"/>
        </w:rPr>
      </w:pPr>
    </w:p>
    <w:p w14:paraId="5F96AB4B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</w:p>
    <w:p w14:paraId="323632CA" w14:textId="77777777" w:rsidR="00E46A3A" w:rsidRPr="00EF6B70" w:rsidRDefault="00E46A3A" w:rsidP="00E46A3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Ouvrages généraux</w:t>
      </w:r>
    </w:p>
    <w:p w14:paraId="6447415A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Aïssaoui, M., </w:t>
      </w:r>
      <w:r w:rsidRPr="00EF6B70">
        <w:rPr>
          <w:rFonts w:ascii="Arial" w:hAnsi="Arial" w:cs="Arial"/>
          <w:i/>
          <w:iCs/>
          <w:sz w:val="24"/>
          <w:szCs w:val="24"/>
        </w:rPr>
        <w:t>Les Fleurs du mal en procès : 20 août 1857</w:t>
      </w:r>
      <w:r w:rsidRPr="00EF6B70">
        <w:rPr>
          <w:rFonts w:ascii="Arial" w:hAnsi="Arial" w:cs="Arial"/>
          <w:sz w:val="24"/>
          <w:szCs w:val="24"/>
        </w:rPr>
        <w:t>, Poésie/Gallimard, Paris, Gallimard, 2021.</w:t>
      </w:r>
      <w:r>
        <w:rPr>
          <w:rFonts w:ascii="Arial" w:hAnsi="Arial" w:cs="Arial"/>
          <w:sz w:val="24"/>
          <w:szCs w:val="24"/>
        </w:rPr>
        <w:t xml:space="preserve"> </w:t>
      </w:r>
      <w:r w:rsidRPr="00EF6B70">
        <w:rPr>
          <w:rFonts w:ascii="Arial" w:hAnsi="Arial" w:cs="Arial"/>
          <w:b/>
          <w:bCs/>
          <w:sz w:val="24"/>
          <w:szCs w:val="24"/>
        </w:rPr>
        <w:t>Cote : 841 BAU A</w:t>
      </w:r>
    </w:p>
    <w:p w14:paraId="1CA30EF6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Bellucci, F., </w:t>
      </w:r>
      <w:r w:rsidRPr="00EF6B70">
        <w:rPr>
          <w:rFonts w:ascii="Arial" w:hAnsi="Arial" w:cs="Arial"/>
          <w:i/>
          <w:iCs/>
          <w:sz w:val="24"/>
          <w:szCs w:val="24"/>
        </w:rPr>
        <w:t>Guide pratique de l’orateur : pour s’exprimer avec aisance et clarté</w:t>
      </w:r>
      <w:r w:rsidRPr="00EF6B70">
        <w:rPr>
          <w:rFonts w:ascii="Arial" w:hAnsi="Arial" w:cs="Arial"/>
          <w:sz w:val="24"/>
          <w:szCs w:val="24"/>
        </w:rPr>
        <w:t>, Paris, Ellipses, 2021.</w:t>
      </w:r>
      <w:r>
        <w:rPr>
          <w:rFonts w:ascii="Arial" w:hAnsi="Arial" w:cs="Arial"/>
          <w:sz w:val="24"/>
          <w:szCs w:val="24"/>
        </w:rPr>
        <w:t xml:space="preserve"> </w:t>
      </w:r>
      <w:r w:rsidRPr="00EF6B70">
        <w:rPr>
          <w:rFonts w:ascii="Arial" w:hAnsi="Arial" w:cs="Arial"/>
          <w:b/>
          <w:bCs/>
          <w:sz w:val="24"/>
          <w:szCs w:val="24"/>
        </w:rPr>
        <w:t>Cote : 378.17 BEL</w:t>
      </w:r>
    </w:p>
    <w:p w14:paraId="3681B11C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Burnet, A., </w:t>
      </w:r>
      <w:r w:rsidRPr="00EF6B70">
        <w:rPr>
          <w:rFonts w:ascii="Arial" w:hAnsi="Arial" w:cs="Arial"/>
          <w:i/>
          <w:iCs/>
          <w:sz w:val="24"/>
          <w:szCs w:val="24"/>
        </w:rPr>
        <w:t>50 discours qui ont marqué notre époque : de Jaurès à Angela Davis</w:t>
      </w:r>
      <w:r w:rsidRPr="00EF6B70">
        <w:rPr>
          <w:rFonts w:ascii="Arial" w:hAnsi="Arial" w:cs="Arial"/>
          <w:sz w:val="24"/>
          <w:szCs w:val="24"/>
        </w:rPr>
        <w:t>, Dunod poche histoire, Malakoff, Dunod, 2023</w:t>
      </w:r>
      <w:r w:rsidRPr="00EF6B70">
        <w:rPr>
          <w:rFonts w:ascii="Arial" w:hAnsi="Arial" w:cs="Arial"/>
          <w:b/>
          <w:bCs/>
          <w:sz w:val="24"/>
          <w:szCs w:val="24"/>
        </w:rPr>
        <w:t>.</w:t>
      </w:r>
      <w:r w:rsidRPr="005F6BAA">
        <w:rPr>
          <w:rFonts w:ascii="Arial" w:hAnsi="Arial" w:cs="Arial"/>
          <w:b/>
          <w:bCs/>
          <w:sz w:val="24"/>
          <w:szCs w:val="24"/>
        </w:rPr>
        <w:t xml:space="preserve"> Cote : 909.82 CIN</w:t>
      </w:r>
    </w:p>
    <w:p w14:paraId="28744C6D" w14:textId="77777777" w:rsidR="00E46A3A" w:rsidRDefault="00E46A3A" w:rsidP="00E46A3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Fumaroli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M., </w:t>
      </w:r>
      <w:r w:rsidRPr="00EF6B70">
        <w:rPr>
          <w:rFonts w:ascii="Arial" w:hAnsi="Arial" w:cs="Arial"/>
          <w:i/>
          <w:iCs/>
          <w:sz w:val="24"/>
          <w:szCs w:val="24"/>
        </w:rPr>
        <w:t>Histoire de la rhétorique dans l’Europe moderne : 1450-1950</w:t>
      </w:r>
      <w:r w:rsidRPr="00EF6B70">
        <w:rPr>
          <w:rFonts w:ascii="Arial" w:hAnsi="Arial" w:cs="Arial"/>
          <w:sz w:val="24"/>
          <w:szCs w:val="24"/>
        </w:rPr>
        <w:t>, Paris, Presses universitaires de France, 1999.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MAG.8°13630</w:t>
      </w:r>
    </w:p>
    <w:p w14:paraId="10A4AF7E" w14:textId="77777777" w:rsidR="00E46A3A" w:rsidRDefault="00E46A3A" w:rsidP="00E46A3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Labiausse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K., </w:t>
      </w:r>
      <w:r w:rsidRPr="00EF6B70">
        <w:rPr>
          <w:rFonts w:ascii="Arial" w:hAnsi="Arial" w:cs="Arial"/>
          <w:i/>
          <w:iCs/>
          <w:sz w:val="24"/>
          <w:szCs w:val="24"/>
        </w:rPr>
        <w:t>Les grands discours politiques : de 1900 à nos jours</w:t>
      </w:r>
      <w:r w:rsidRPr="00EF6B70">
        <w:rPr>
          <w:rFonts w:ascii="Arial" w:hAnsi="Arial" w:cs="Arial"/>
          <w:sz w:val="24"/>
          <w:szCs w:val="24"/>
        </w:rPr>
        <w:t>, Paris, Bréal, 2011.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320.01 LAB</w:t>
      </w:r>
    </w:p>
    <w:p w14:paraId="36225952" w14:textId="77796488" w:rsidR="00DE575D" w:rsidRDefault="00DE575D" w:rsidP="00E46A3A">
      <w:pPr>
        <w:jc w:val="both"/>
        <w:rPr>
          <w:rFonts w:ascii="Arial" w:hAnsi="Arial" w:cs="Arial"/>
          <w:b/>
        </w:rPr>
      </w:pPr>
      <w:proofErr w:type="spellStart"/>
      <w:r w:rsidRPr="00DE575D">
        <w:rPr>
          <w:rFonts w:ascii="Arial" w:hAnsi="Arial" w:cs="Arial"/>
        </w:rPr>
        <w:t>Robrieux</w:t>
      </w:r>
      <w:proofErr w:type="spellEnd"/>
      <w:r w:rsidRPr="00DE57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J.-J.</w:t>
      </w:r>
      <w:r w:rsidRPr="00DE575D">
        <w:rPr>
          <w:rFonts w:ascii="Arial" w:hAnsi="Arial" w:cs="Arial"/>
        </w:rPr>
        <w:t xml:space="preserve"> </w:t>
      </w:r>
      <w:r w:rsidRPr="00DE575D">
        <w:rPr>
          <w:rFonts w:ascii="Arial" w:hAnsi="Arial" w:cs="Arial"/>
          <w:i/>
          <w:iCs/>
        </w:rPr>
        <w:t>Rhétorique et argumentation</w:t>
      </w:r>
      <w:r w:rsidRPr="00DE575D">
        <w:rPr>
          <w:rFonts w:ascii="Arial" w:hAnsi="Arial" w:cs="Arial"/>
        </w:rPr>
        <w:t xml:space="preserve"> (4e édition). Paris : Armand Colin, 2021. </w:t>
      </w:r>
      <w:r w:rsidRPr="00DE575D">
        <w:rPr>
          <w:rFonts w:ascii="Arial" w:hAnsi="Arial" w:cs="Arial"/>
          <w:b/>
        </w:rPr>
        <w:t>Cote : 808.5 ROB</w:t>
      </w:r>
    </w:p>
    <w:p w14:paraId="59679647" w14:textId="03D0F5D1" w:rsidR="00DE575D" w:rsidRPr="00DE575D" w:rsidRDefault="00DE575D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Viktorovitch</w:t>
      </w:r>
      <w:proofErr w:type="spellEnd"/>
      <w:r>
        <w:rPr>
          <w:rFonts w:ascii="Arial" w:hAnsi="Arial" w:cs="Arial"/>
        </w:rPr>
        <w:t>, C</w:t>
      </w:r>
      <w:r w:rsidRPr="00DE575D">
        <w:rPr>
          <w:rFonts w:ascii="Arial" w:hAnsi="Arial" w:cs="Arial"/>
        </w:rPr>
        <w:t xml:space="preserve">. </w:t>
      </w:r>
      <w:r w:rsidRPr="00DE575D">
        <w:rPr>
          <w:rFonts w:ascii="Arial" w:hAnsi="Arial" w:cs="Arial"/>
          <w:i/>
          <w:iCs/>
        </w:rPr>
        <w:t>Le pouvoir rhétorique : apprendre à convaincre et à décrypter les discours</w:t>
      </w:r>
      <w:r w:rsidRPr="00DE575D">
        <w:rPr>
          <w:rFonts w:ascii="Arial" w:hAnsi="Arial" w:cs="Arial"/>
        </w:rPr>
        <w:t xml:space="preserve">. Paris : Éditions Points, 2023. </w:t>
      </w:r>
      <w:r w:rsidRPr="00DE575D">
        <w:rPr>
          <w:rFonts w:ascii="Arial" w:hAnsi="Arial" w:cs="Arial"/>
          <w:b/>
        </w:rPr>
        <w:t>Cote : 808.5 VIK</w:t>
      </w:r>
    </w:p>
    <w:p w14:paraId="18ED299A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</w:p>
    <w:p w14:paraId="5D61AE98" w14:textId="77777777" w:rsidR="00E46A3A" w:rsidRPr="00EF6B70" w:rsidRDefault="00E46A3A" w:rsidP="00E46A3A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Ouvrages de culture juridiques</w:t>
      </w:r>
    </w:p>
    <w:p w14:paraId="0773D929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Corato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N. et Ordre des avocats, </w:t>
      </w:r>
      <w:r w:rsidRPr="00EF6B70">
        <w:rPr>
          <w:rFonts w:ascii="Arial" w:hAnsi="Arial" w:cs="Arial"/>
          <w:i/>
          <w:iCs/>
          <w:sz w:val="24"/>
          <w:szCs w:val="24"/>
        </w:rPr>
        <w:t>Grandes plaidoiries &amp; grands procès du XVe au XXe siècle</w:t>
      </w:r>
      <w:r w:rsidRPr="00EF6B70">
        <w:rPr>
          <w:rFonts w:ascii="Arial" w:hAnsi="Arial" w:cs="Arial"/>
          <w:sz w:val="24"/>
          <w:szCs w:val="24"/>
        </w:rPr>
        <w:t>, Issy-les-Moulineaux, Prat, 2011.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347.072 GRA</w:t>
      </w:r>
    </w:p>
    <w:p w14:paraId="025EA881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Créhange, P., </w:t>
      </w:r>
      <w:r w:rsidRPr="00EF6B70">
        <w:rPr>
          <w:rFonts w:ascii="Arial" w:hAnsi="Arial" w:cs="Arial"/>
          <w:i/>
          <w:iCs/>
          <w:sz w:val="24"/>
          <w:szCs w:val="24"/>
        </w:rPr>
        <w:t>Introduction à l’art de la plaidoirie : verba volant</w:t>
      </w:r>
      <w:r w:rsidRPr="00EF6B70">
        <w:rPr>
          <w:rFonts w:ascii="Arial" w:hAnsi="Arial" w:cs="Arial"/>
          <w:sz w:val="24"/>
          <w:szCs w:val="24"/>
        </w:rPr>
        <w:t>, Guide pratique, Paris, Gazette du Palais Lextenso éditions, 2013.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347.072 CRE</w:t>
      </w:r>
    </w:p>
    <w:p w14:paraId="04730F98" w14:textId="77777777" w:rsidR="00E46A3A" w:rsidRDefault="00E46A3A" w:rsidP="00E46A3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Denieul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J.-M., </w:t>
      </w:r>
      <w:r w:rsidRPr="00EF6B70">
        <w:rPr>
          <w:rFonts w:ascii="Arial" w:hAnsi="Arial" w:cs="Arial"/>
          <w:i/>
          <w:iCs/>
          <w:sz w:val="24"/>
          <w:szCs w:val="24"/>
        </w:rPr>
        <w:t>Petit traité de l’écrit judiciaire</w:t>
      </w:r>
      <w:r w:rsidRPr="00EF6B70">
        <w:rPr>
          <w:rFonts w:ascii="Arial" w:hAnsi="Arial" w:cs="Arial"/>
          <w:sz w:val="24"/>
          <w:szCs w:val="24"/>
        </w:rPr>
        <w:t>, Praxis Dalloz, Paris, Dalloz, 2014.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29EC93" w14:textId="77777777" w:rsidR="00E46A3A" w:rsidRPr="00EF6B70" w:rsidRDefault="00E46A3A" w:rsidP="00E46A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6BAA">
        <w:rPr>
          <w:rFonts w:ascii="Arial" w:hAnsi="Arial" w:cs="Arial"/>
          <w:b/>
          <w:bCs/>
          <w:sz w:val="24"/>
          <w:szCs w:val="24"/>
        </w:rPr>
        <w:t>Cote : 347 DEN</w:t>
      </w:r>
    </w:p>
    <w:p w14:paraId="5C659045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Goltzberg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S., </w:t>
      </w:r>
      <w:r w:rsidRPr="00EF6B70">
        <w:rPr>
          <w:rFonts w:ascii="Arial" w:hAnsi="Arial" w:cs="Arial"/>
          <w:i/>
          <w:iCs/>
          <w:sz w:val="24"/>
          <w:szCs w:val="24"/>
        </w:rPr>
        <w:t>L’argumentation juridique</w:t>
      </w:r>
      <w:r w:rsidRPr="00EF6B70">
        <w:rPr>
          <w:rFonts w:ascii="Arial" w:hAnsi="Arial" w:cs="Arial"/>
          <w:sz w:val="24"/>
          <w:szCs w:val="24"/>
        </w:rPr>
        <w:t>, Connaissance du droit, Paris, Dalloz ill., 2013.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340.11 GOL</w:t>
      </w:r>
    </w:p>
    <w:p w14:paraId="3F5C7F8F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Gratiot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L., </w:t>
      </w:r>
      <w:proofErr w:type="spellStart"/>
      <w:r w:rsidRPr="00EF6B70">
        <w:rPr>
          <w:rFonts w:ascii="Arial" w:hAnsi="Arial" w:cs="Arial"/>
          <w:sz w:val="24"/>
          <w:szCs w:val="24"/>
        </w:rPr>
        <w:t>Mécary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C. et Bensimon, S., </w:t>
      </w:r>
      <w:r w:rsidRPr="00EF6B70">
        <w:rPr>
          <w:rFonts w:ascii="Arial" w:hAnsi="Arial" w:cs="Arial"/>
          <w:i/>
          <w:iCs/>
          <w:sz w:val="24"/>
          <w:szCs w:val="24"/>
        </w:rPr>
        <w:t>Art et techniques de la plaidoirie</w:t>
      </w:r>
      <w:r w:rsidRPr="00EF6B70">
        <w:rPr>
          <w:rFonts w:ascii="Arial" w:hAnsi="Arial" w:cs="Arial"/>
          <w:sz w:val="24"/>
          <w:szCs w:val="24"/>
        </w:rPr>
        <w:t>, Droit &amp; professionnels Série Art et techniques, Paris, LexisNexis, 2011.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347.072 ART</w:t>
      </w:r>
    </w:p>
    <w:p w14:paraId="5A965848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Latour, R.A. du texte, </w:t>
      </w:r>
      <w:r w:rsidRPr="00EF6B70">
        <w:rPr>
          <w:rFonts w:ascii="Arial" w:hAnsi="Arial" w:cs="Arial"/>
          <w:i/>
          <w:iCs/>
          <w:sz w:val="24"/>
          <w:szCs w:val="24"/>
        </w:rPr>
        <w:t>La plaidoirie devant les tribunaux et l’ordre des avocats</w:t>
      </w:r>
      <w:r w:rsidRPr="00EF6B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F6B70">
        <w:rPr>
          <w:rFonts w:ascii="Arial" w:hAnsi="Arial" w:cs="Arial"/>
          <w:sz w:val="24"/>
          <w:szCs w:val="24"/>
        </w:rPr>
        <w:t>s.l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EF6B70">
        <w:rPr>
          <w:rFonts w:ascii="Arial" w:hAnsi="Arial" w:cs="Arial"/>
          <w:sz w:val="24"/>
          <w:szCs w:val="24"/>
        </w:rPr>
        <w:t>impr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. de G. Jacob Orléans, 1890, disponible sur </w:t>
      </w:r>
      <w:hyperlink r:id="rId8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http://gallica.bnf.fr/ark:/12148/bpt6k317029v</w:t>
        </w:r>
      </w:hyperlink>
      <w:r>
        <w:rPr>
          <w:rFonts w:ascii="Arial" w:hAnsi="Arial" w:cs="Arial"/>
          <w:sz w:val="24"/>
          <w:szCs w:val="24"/>
        </w:rPr>
        <w:t>.</w:t>
      </w:r>
      <w:r w:rsidRPr="00EF6B70">
        <w:rPr>
          <w:rFonts w:ascii="Arial" w:hAnsi="Arial" w:cs="Arial"/>
          <w:sz w:val="24"/>
          <w:szCs w:val="24"/>
        </w:rPr>
        <w:t xml:space="preserve"> </w:t>
      </w:r>
    </w:p>
    <w:p w14:paraId="54C598FF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lastRenderedPageBreak/>
        <w:t xml:space="preserve">Martineau, F., </w:t>
      </w:r>
      <w:r w:rsidRPr="00EF6B70">
        <w:rPr>
          <w:rFonts w:ascii="Arial" w:hAnsi="Arial" w:cs="Arial"/>
          <w:i/>
          <w:iCs/>
          <w:sz w:val="24"/>
          <w:szCs w:val="24"/>
        </w:rPr>
        <w:t>Petit traité d’argumentation judiciaire</w:t>
      </w:r>
      <w:r w:rsidRPr="00EF6B70">
        <w:rPr>
          <w:rFonts w:ascii="Arial" w:hAnsi="Arial" w:cs="Arial"/>
          <w:sz w:val="24"/>
          <w:szCs w:val="24"/>
        </w:rPr>
        <w:t>, Praxis Dalloz, Paris, Dalloz, 2010.</w:t>
      </w:r>
      <w:r>
        <w:rPr>
          <w:rFonts w:ascii="Arial" w:hAnsi="Arial" w:cs="Arial"/>
          <w:sz w:val="24"/>
          <w:szCs w:val="24"/>
        </w:rPr>
        <w:t xml:space="preserve"> </w:t>
      </w:r>
      <w:r w:rsidRPr="005F6BAA">
        <w:rPr>
          <w:rFonts w:ascii="Arial" w:hAnsi="Arial" w:cs="Arial"/>
          <w:b/>
          <w:bCs/>
          <w:sz w:val="24"/>
          <w:szCs w:val="24"/>
        </w:rPr>
        <w:t>Cote : MAG.8°1538</w:t>
      </w:r>
    </w:p>
    <w:p w14:paraId="3B8B5C7B" w14:textId="77777777" w:rsidR="00E46A3A" w:rsidRPr="006366D6" w:rsidRDefault="00E46A3A" w:rsidP="00E46A3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Mathieu, M.-L., </w:t>
      </w:r>
      <w:r w:rsidRPr="00EF6B70">
        <w:rPr>
          <w:rFonts w:ascii="Arial" w:hAnsi="Arial" w:cs="Arial"/>
          <w:i/>
          <w:iCs/>
          <w:sz w:val="24"/>
          <w:szCs w:val="24"/>
        </w:rPr>
        <w:t>Le raisonnement juridique : initiation à la logique et à l’argumentation</w:t>
      </w:r>
      <w:r w:rsidRPr="00EF6B70">
        <w:rPr>
          <w:rFonts w:ascii="Arial" w:hAnsi="Arial" w:cs="Arial"/>
          <w:sz w:val="24"/>
          <w:szCs w:val="24"/>
        </w:rPr>
        <w:t>, Thémis. Droit privé, Paris, Presses universitaires de France, 2001.</w:t>
      </w:r>
      <w:r>
        <w:rPr>
          <w:rFonts w:ascii="Arial" w:hAnsi="Arial" w:cs="Arial"/>
          <w:sz w:val="24"/>
          <w:szCs w:val="24"/>
        </w:rPr>
        <w:t xml:space="preserve"> </w:t>
      </w:r>
      <w:r w:rsidRPr="006366D6">
        <w:rPr>
          <w:rFonts w:ascii="Arial" w:hAnsi="Arial" w:cs="Arial"/>
          <w:b/>
          <w:bCs/>
          <w:sz w:val="24"/>
          <w:szCs w:val="24"/>
        </w:rPr>
        <w:t>Cote : 340.07 MAT</w:t>
      </w:r>
    </w:p>
    <w:p w14:paraId="6C67BF76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</w:p>
    <w:p w14:paraId="6328F778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Millou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P. (17-18) A. du texte, </w:t>
      </w:r>
      <w:r w:rsidRPr="00EF6B70">
        <w:rPr>
          <w:rFonts w:ascii="Arial" w:hAnsi="Arial" w:cs="Arial"/>
          <w:i/>
          <w:iCs/>
          <w:sz w:val="24"/>
          <w:szCs w:val="24"/>
        </w:rPr>
        <w:t xml:space="preserve">Observations du bâtonnier de l’ordre des avocats de Brignoles sur la question de la plaidoirie. (Signé: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Millou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>. 26 novembre 1847.)</w:t>
      </w:r>
      <w:r w:rsidRPr="00EF6B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F6B70">
        <w:rPr>
          <w:rFonts w:ascii="Arial" w:hAnsi="Arial" w:cs="Arial"/>
          <w:sz w:val="24"/>
          <w:szCs w:val="24"/>
        </w:rPr>
        <w:t>s.l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., Draguignan, 1847, disponible sur </w:t>
      </w:r>
      <w:hyperlink r:id="rId9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http://gallica.bnf.fr/ark:/12148/bpt6k316939q</w:t>
        </w:r>
      </w:hyperlink>
      <w:r w:rsidRPr="00EF6B70">
        <w:rPr>
          <w:rFonts w:ascii="Arial" w:hAnsi="Arial" w:cs="Arial"/>
          <w:sz w:val="24"/>
          <w:szCs w:val="24"/>
        </w:rPr>
        <w:t xml:space="preserve"> </w:t>
      </w:r>
    </w:p>
    <w:p w14:paraId="35AA9C1F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6366D6">
        <w:rPr>
          <w:rFonts w:ascii="Arial" w:hAnsi="Arial" w:cs="Arial"/>
          <w:sz w:val="24"/>
          <w:szCs w:val="24"/>
        </w:rPr>
        <w:t xml:space="preserve">Nicolas, É., </w:t>
      </w:r>
      <w:r w:rsidRPr="006366D6">
        <w:rPr>
          <w:rFonts w:ascii="Arial" w:hAnsi="Arial" w:cs="Arial"/>
          <w:i/>
          <w:iCs/>
          <w:sz w:val="24"/>
          <w:szCs w:val="24"/>
        </w:rPr>
        <w:t>L’assimilation en droit : essai de philosophie de la technique juridique, Méthodes du droit</w:t>
      </w:r>
      <w:r w:rsidRPr="006366D6">
        <w:rPr>
          <w:rFonts w:ascii="Arial" w:hAnsi="Arial" w:cs="Arial"/>
          <w:sz w:val="24"/>
          <w:szCs w:val="24"/>
        </w:rPr>
        <w:t xml:space="preserve">, Paris, Dalloz, 2022, disponible sur </w:t>
      </w:r>
      <w:hyperlink r:id="rId10" w:history="1">
        <w:r w:rsidRPr="00C56904">
          <w:rPr>
            <w:rStyle w:val="Lienhypertexte"/>
            <w:rFonts w:ascii="Arial" w:hAnsi="Arial" w:cs="Arial"/>
            <w:sz w:val="24"/>
            <w:szCs w:val="24"/>
          </w:rPr>
          <w:t>https://bibliotheque-lefebvre-dalloz-fr.federation.unimes.fr:8443/ouvrage/methodes-droit/assimilation-droit_9782247218288</w:t>
        </w:r>
      </w:hyperlink>
      <w:r w:rsidRPr="006366D6">
        <w:rPr>
          <w:rFonts w:ascii="Arial" w:hAnsi="Arial" w:cs="Arial"/>
          <w:sz w:val="24"/>
          <w:szCs w:val="24"/>
        </w:rPr>
        <w:t>.</w:t>
      </w:r>
    </w:p>
    <w:p w14:paraId="6D342FD2" w14:textId="77777777" w:rsidR="00E46A3A" w:rsidRPr="00EF6B70" w:rsidRDefault="00E46A3A" w:rsidP="00E46A3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Rouvière, F., </w:t>
      </w:r>
      <w:r w:rsidRPr="00EF6B70">
        <w:rPr>
          <w:rFonts w:ascii="Arial" w:hAnsi="Arial" w:cs="Arial"/>
          <w:i/>
          <w:iCs/>
          <w:sz w:val="24"/>
          <w:szCs w:val="24"/>
        </w:rPr>
        <w:t>Argumentation juridique</w:t>
      </w:r>
      <w:r w:rsidRPr="00EF6B70">
        <w:rPr>
          <w:rFonts w:ascii="Arial" w:hAnsi="Arial" w:cs="Arial"/>
          <w:sz w:val="24"/>
          <w:szCs w:val="24"/>
        </w:rPr>
        <w:t xml:space="preserve">, Thémis Droit, Paris, </w:t>
      </w:r>
      <w:proofErr w:type="spellStart"/>
      <w:r w:rsidRPr="00EF6B70">
        <w:rPr>
          <w:rFonts w:ascii="Arial" w:hAnsi="Arial" w:cs="Arial"/>
          <w:sz w:val="24"/>
          <w:szCs w:val="24"/>
        </w:rPr>
        <w:t>puf</w:t>
      </w:r>
      <w:proofErr w:type="spellEnd"/>
      <w:r w:rsidRPr="00EF6B70">
        <w:rPr>
          <w:rFonts w:ascii="Arial" w:hAnsi="Arial" w:cs="Arial"/>
          <w:sz w:val="24"/>
          <w:szCs w:val="24"/>
        </w:rPr>
        <w:t>, 2023.</w:t>
      </w:r>
      <w:r>
        <w:rPr>
          <w:rFonts w:ascii="Arial" w:hAnsi="Arial" w:cs="Arial"/>
          <w:sz w:val="24"/>
          <w:szCs w:val="24"/>
        </w:rPr>
        <w:t xml:space="preserve"> </w:t>
      </w:r>
      <w:r w:rsidRPr="006366D6">
        <w:rPr>
          <w:rFonts w:ascii="Arial" w:hAnsi="Arial" w:cs="Arial"/>
          <w:b/>
          <w:bCs/>
          <w:sz w:val="24"/>
          <w:szCs w:val="24"/>
        </w:rPr>
        <w:t>Cote : 340.11 ROU</w:t>
      </w:r>
    </w:p>
    <w:p w14:paraId="061B6DF9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Saint-Pierre, F. et Saint-Pierre, F., </w:t>
      </w:r>
      <w:r w:rsidRPr="00EF6B70">
        <w:rPr>
          <w:rFonts w:ascii="Arial" w:hAnsi="Arial" w:cs="Arial"/>
          <w:i/>
          <w:iCs/>
          <w:sz w:val="24"/>
          <w:szCs w:val="24"/>
        </w:rPr>
        <w:t>Le guide de la défense pénale</w:t>
      </w:r>
      <w:r w:rsidRPr="00EF6B70">
        <w:rPr>
          <w:rFonts w:ascii="Arial" w:hAnsi="Arial" w:cs="Arial"/>
          <w:sz w:val="24"/>
          <w:szCs w:val="24"/>
        </w:rPr>
        <w:t>, Guides Dalloz, Paris, Dalloz, 2014</w:t>
      </w:r>
      <w:r>
        <w:rPr>
          <w:rFonts w:ascii="Arial" w:hAnsi="Arial" w:cs="Arial"/>
          <w:sz w:val="24"/>
          <w:szCs w:val="24"/>
        </w:rPr>
        <w:t xml:space="preserve">, disponible sur : </w:t>
      </w:r>
      <w:hyperlink r:id="rId11" w:history="1">
        <w:r w:rsidRPr="00C56904">
          <w:rPr>
            <w:rStyle w:val="Lienhypertexte"/>
            <w:rFonts w:ascii="Arial" w:hAnsi="Arial" w:cs="Arial"/>
            <w:sz w:val="24"/>
            <w:szCs w:val="24"/>
          </w:rPr>
          <w:t>https://bibliotheque-lefebvre-dalloz-fr.federation.unimes.fr:8443/ouvrage/guides-dalloz/guide-defense-penale-2015-2016_9782247140374</w:t>
        </w:r>
      </w:hyperlink>
    </w:p>
    <w:p w14:paraId="6556A579" w14:textId="77777777" w:rsidR="00E46A3A" w:rsidRPr="00EF6B70" w:rsidRDefault="00E46A3A" w:rsidP="00E46A3A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Thèses</w:t>
      </w:r>
    </w:p>
    <w:p w14:paraId="4816FFC1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Barbou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M., </w:t>
      </w:r>
      <w:r w:rsidRPr="00EF6B70">
        <w:rPr>
          <w:rFonts w:ascii="Arial" w:hAnsi="Arial" w:cs="Arial"/>
          <w:i/>
          <w:iCs/>
          <w:sz w:val="24"/>
          <w:szCs w:val="24"/>
        </w:rPr>
        <w:t xml:space="preserve">L’art de plaider en défense aux assises: analyse dialogique et argumentative d’une technique sociale du sentiment : le cas de l’affaire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Courjault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2017, disponible sur </w:t>
      </w:r>
      <w:hyperlink r:id="rId12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https://www.theses.fr/2017CNAM1109/document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8 avril 2025).</w:t>
      </w:r>
    </w:p>
    <w:p w14:paraId="355E5F10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Dupend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A., </w:t>
      </w:r>
      <w:r w:rsidRPr="00EF6B70">
        <w:rPr>
          <w:rFonts w:ascii="Arial" w:hAnsi="Arial" w:cs="Arial"/>
          <w:i/>
          <w:iCs/>
          <w:sz w:val="24"/>
          <w:szCs w:val="24"/>
        </w:rPr>
        <w:t>L’argument jusnaturaliste en droit privé patrimonial français</w:t>
      </w:r>
      <w:r w:rsidRPr="00EF6B70">
        <w:rPr>
          <w:rFonts w:ascii="Arial" w:hAnsi="Arial" w:cs="Arial"/>
          <w:sz w:val="24"/>
          <w:szCs w:val="24"/>
        </w:rPr>
        <w:t xml:space="preserve">, 2014, disponible sur </w:t>
      </w:r>
      <w:hyperlink r:id="rId13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https://www.theses.fr/2014BORD0148/document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8 avril 2025).</w:t>
      </w:r>
    </w:p>
    <w:p w14:paraId="0071BB63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Taleb, F., </w:t>
      </w:r>
      <w:r w:rsidRPr="00EF6B70">
        <w:rPr>
          <w:rFonts w:ascii="Arial" w:hAnsi="Arial" w:cs="Arial"/>
          <w:i/>
          <w:iCs/>
          <w:sz w:val="24"/>
          <w:szCs w:val="24"/>
        </w:rPr>
        <w:t>L’argumentation judiciaire à travers le prisme des scénarios modaux : application pour une aide à l’interprétation des décisions de justice</w:t>
      </w:r>
      <w:r w:rsidRPr="00EF6B70">
        <w:rPr>
          <w:rFonts w:ascii="Arial" w:hAnsi="Arial" w:cs="Arial"/>
          <w:sz w:val="24"/>
          <w:szCs w:val="24"/>
        </w:rPr>
        <w:t xml:space="preserve">, 2019, disponible sur </w:t>
      </w:r>
      <w:hyperlink r:id="rId14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https://www.theses.fr/2019NORMR096/document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8 avril 2025).</w:t>
      </w:r>
    </w:p>
    <w:p w14:paraId="262E7EE3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>Droits, revue française de théorie, de philosophie et de culture juridiques, « </w:t>
      </w:r>
      <w:proofErr w:type="gramStart"/>
      <w:r w:rsidRPr="00EF6B70">
        <w:rPr>
          <w:rFonts w:ascii="Arial" w:hAnsi="Arial" w:cs="Arial"/>
          <w:sz w:val="24"/>
          <w:szCs w:val="24"/>
        </w:rPr>
        <w:t>L’ argumentation</w:t>
      </w:r>
      <w:proofErr w:type="gramEnd"/>
      <w:r w:rsidRPr="00EF6B70">
        <w:rPr>
          <w:rFonts w:ascii="Arial" w:hAnsi="Arial" w:cs="Arial"/>
          <w:sz w:val="24"/>
          <w:szCs w:val="24"/>
        </w:rPr>
        <w:t xml:space="preserve"> des juristes et ses contraintes », in, 1, Droits, n° 54.2011, Paris, Presses Univ. </w:t>
      </w:r>
      <w:proofErr w:type="gramStart"/>
      <w:r w:rsidRPr="00EF6B70">
        <w:rPr>
          <w:rFonts w:ascii="Arial" w:hAnsi="Arial" w:cs="Arial"/>
          <w:sz w:val="24"/>
          <w:szCs w:val="24"/>
        </w:rPr>
        <w:t>de</w:t>
      </w:r>
      <w:proofErr w:type="gramEnd"/>
      <w:r w:rsidRPr="00EF6B70">
        <w:rPr>
          <w:rFonts w:ascii="Arial" w:hAnsi="Arial" w:cs="Arial"/>
          <w:sz w:val="24"/>
          <w:szCs w:val="24"/>
        </w:rPr>
        <w:t xml:space="preserve"> France, 2012, p. 253.</w:t>
      </w:r>
    </w:p>
    <w:p w14:paraId="60C68D9A" w14:textId="77777777" w:rsidR="00E46A3A" w:rsidRPr="00EF6B70" w:rsidRDefault="00E46A3A" w:rsidP="00E46A3A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Revues : numéros thématiques</w:t>
      </w:r>
    </w:p>
    <w:p w14:paraId="3C3328B2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>Droits, revue française de théorie, de philosophie et de culture juridiques, « </w:t>
      </w:r>
      <w:proofErr w:type="gramStart"/>
      <w:r w:rsidRPr="00EF6B70">
        <w:rPr>
          <w:rFonts w:ascii="Arial" w:hAnsi="Arial" w:cs="Arial"/>
          <w:sz w:val="24"/>
          <w:szCs w:val="24"/>
        </w:rPr>
        <w:t>L’ argumentation</w:t>
      </w:r>
      <w:proofErr w:type="gramEnd"/>
      <w:r w:rsidRPr="00EF6B70">
        <w:rPr>
          <w:rFonts w:ascii="Arial" w:hAnsi="Arial" w:cs="Arial"/>
          <w:sz w:val="24"/>
          <w:szCs w:val="24"/>
        </w:rPr>
        <w:t xml:space="preserve"> des juristes et ses contraintes », in, 2, Droits, n° 55.2012, Paris, Presses Univ. </w:t>
      </w:r>
      <w:proofErr w:type="gramStart"/>
      <w:r w:rsidRPr="00EF6B70">
        <w:rPr>
          <w:rFonts w:ascii="Arial" w:hAnsi="Arial" w:cs="Arial"/>
          <w:sz w:val="24"/>
          <w:szCs w:val="24"/>
        </w:rPr>
        <w:t>de</w:t>
      </w:r>
      <w:proofErr w:type="gramEnd"/>
      <w:r w:rsidRPr="00EF6B70">
        <w:rPr>
          <w:rFonts w:ascii="Arial" w:hAnsi="Arial" w:cs="Arial"/>
          <w:sz w:val="24"/>
          <w:szCs w:val="24"/>
        </w:rPr>
        <w:t xml:space="preserve"> France, 2013, p. 255.</w:t>
      </w:r>
    </w:p>
    <w:p w14:paraId="11AD0B6F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>Durand, B. et Roux-</w:t>
      </w:r>
      <w:proofErr w:type="spellStart"/>
      <w:r w:rsidRPr="00EF6B70">
        <w:rPr>
          <w:rFonts w:ascii="Arial" w:hAnsi="Arial" w:cs="Arial"/>
          <w:sz w:val="24"/>
          <w:szCs w:val="24"/>
        </w:rPr>
        <w:t>Steinkühler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M.-A., « Pour une écriture scientifique respectueuse des principes de la paternité intellectuelle: Droit et déontologie », </w:t>
      </w:r>
      <w:r w:rsidRPr="00EF6B70">
        <w:rPr>
          <w:rFonts w:ascii="Arial" w:hAnsi="Arial" w:cs="Arial"/>
          <w:i/>
          <w:iCs/>
          <w:sz w:val="24"/>
          <w:szCs w:val="24"/>
        </w:rPr>
        <w:t>Les Cahiers de l’IRAFPA</w:t>
      </w:r>
      <w:r w:rsidRPr="00EF6B70">
        <w:rPr>
          <w:rFonts w:ascii="Arial" w:hAnsi="Arial" w:cs="Arial"/>
          <w:sz w:val="24"/>
          <w:szCs w:val="24"/>
        </w:rPr>
        <w:t>, juillet 2023, vol. 1, n° 1, pp. 13</w:t>
      </w:r>
      <w:r w:rsidRPr="00EF6B70">
        <w:rPr>
          <w:rFonts w:ascii="Arial" w:hAnsi="Arial" w:cs="Arial"/>
          <w:sz w:val="24"/>
          <w:szCs w:val="24"/>
        </w:rPr>
        <w:noBreakHyphen/>
        <w:t xml:space="preserve">35, disponible sur </w:t>
      </w:r>
      <w:hyperlink r:id="rId15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https://cahiers.irafpa.org/article/view/4127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6 septembre 2023).</w:t>
      </w:r>
    </w:p>
    <w:p w14:paraId="369C61D7" w14:textId="77777777" w:rsidR="00E46A3A" w:rsidRPr="00EF6B70" w:rsidRDefault="00E46A3A" w:rsidP="00E46A3A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Articles de revues</w:t>
      </w:r>
    </w:p>
    <w:p w14:paraId="286237A5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lastRenderedPageBreak/>
        <w:t>Galatanu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O., « Potentiel argumentatif du vocabulaire juridique et orientation axiologique du discours judiciaire »,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Çédille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revista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estudios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franceses</w:t>
      </w:r>
      <w:proofErr w:type="spellEnd"/>
      <w:r w:rsidRPr="00EF6B70">
        <w:rPr>
          <w:rFonts w:ascii="Arial" w:hAnsi="Arial" w:cs="Arial"/>
          <w:sz w:val="24"/>
          <w:szCs w:val="24"/>
        </w:rPr>
        <w:t>, 2024, n° 25, pp. 107</w:t>
      </w:r>
      <w:r w:rsidRPr="00EF6B70">
        <w:rPr>
          <w:rFonts w:ascii="Arial" w:hAnsi="Arial" w:cs="Arial"/>
          <w:sz w:val="24"/>
          <w:szCs w:val="24"/>
        </w:rPr>
        <w:noBreakHyphen/>
        <w:t>131.</w:t>
      </w:r>
    </w:p>
    <w:p w14:paraId="5AFD73CE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Guard, T., « La parole historique mise en scène dans les discours de Cicéron. Éloquence et idéologie politique », </w:t>
      </w:r>
      <w:r w:rsidRPr="00EF6B70">
        <w:rPr>
          <w:rFonts w:ascii="Arial" w:hAnsi="Arial" w:cs="Arial"/>
          <w:i/>
          <w:iCs/>
          <w:sz w:val="24"/>
          <w:szCs w:val="24"/>
        </w:rPr>
        <w:t>Dialogues d’histoire ancienne</w:t>
      </w:r>
      <w:r w:rsidRPr="00EF6B70">
        <w:rPr>
          <w:rFonts w:ascii="Arial" w:hAnsi="Arial" w:cs="Arial"/>
          <w:sz w:val="24"/>
          <w:szCs w:val="24"/>
        </w:rPr>
        <w:t>, 2013, n° Supplement8, pp. 81</w:t>
      </w:r>
      <w:r w:rsidRPr="00EF6B70">
        <w:rPr>
          <w:rFonts w:ascii="Arial" w:hAnsi="Arial" w:cs="Arial"/>
          <w:sz w:val="24"/>
          <w:szCs w:val="24"/>
        </w:rPr>
        <w:noBreakHyphen/>
        <w:t xml:space="preserve">92, disponible sur </w:t>
      </w:r>
      <w:hyperlink r:id="rId16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https://www.cairn.info/revue-dialogues-d-histoire-ancienne-2013-Supplement8-page-81.htm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3 avril 2024).</w:t>
      </w:r>
    </w:p>
    <w:p w14:paraId="48508EE3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Mas, M., Nicolas, C. et Vibert, A., « Introduction Éloquence, rhétorique, littérature. Tensions et interrogations », </w:t>
      </w:r>
      <w:r w:rsidRPr="00EF6B70">
        <w:rPr>
          <w:rFonts w:ascii="Arial" w:hAnsi="Arial" w:cs="Arial"/>
          <w:i/>
          <w:iCs/>
          <w:sz w:val="24"/>
          <w:szCs w:val="24"/>
        </w:rPr>
        <w:t>Recherches &amp; Travaux</w:t>
      </w:r>
      <w:r w:rsidRPr="00EF6B70">
        <w:rPr>
          <w:rFonts w:ascii="Arial" w:hAnsi="Arial" w:cs="Arial"/>
          <w:sz w:val="24"/>
          <w:szCs w:val="24"/>
        </w:rPr>
        <w:t xml:space="preserve">, décembre 2021, n° 99, disponible sur </w:t>
      </w:r>
      <w:hyperlink r:id="rId17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https://journals.openedition.org/recherchestravaux/3854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3 avril 2024).</w:t>
      </w:r>
    </w:p>
    <w:p w14:paraId="55866744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Masseron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C., « L’argumentation : situations, participants et enjeux dans une chronique judiciaire », </w:t>
      </w:r>
      <w:r w:rsidRPr="00EF6B70">
        <w:rPr>
          <w:rFonts w:ascii="Arial" w:hAnsi="Arial" w:cs="Arial"/>
          <w:i/>
          <w:iCs/>
          <w:sz w:val="24"/>
          <w:szCs w:val="24"/>
        </w:rPr>
        <w:t>Pratiques</w:t>
      </w:r>
      <w:r w:rsidRPr="00EF6B70">
        <w:rPr>
          <w:rFonts w:ascii="Arial" w:hAnsi="Arial" w:cs="Arial"/>
          <w:sz w:val="24"/>
          <w:szCs w:val="24"/>
        </w:rPr>
        <w:t>, 1997, vol. 94, n° 1, pp. 87</w:t>
      </w:r>
      <w:r w:rsidRPr="00EF6B70">
        <w:rPr>
          <w:rFonts w:ascii="Arial" w:hAnsi="Arial" w:cs="Arial"/>
          <w:sz w:val="24"/>
          <w:szCs w:val="24"/>
        </w:rPr>
        <w:noBreakHyphen/>
        <w:t>100.</w:t>
      </w:r>
    </w:p>
    <w:p w14:paraId="20347C83" w14:textId="77777777" w:rsidR="00E46A3A" w:rsidRPr="00EF6B70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Robaglia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B., « Étienne Pasquier, un avocat à l’éloquence herculéenne dans la République des Lettres »,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Clio@Themis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>. Revue électronique d’histoire du droit</w:t>
      </w:r>
      <w:r w:rsidRPr="00EF6B70">
        <w:rPr>
          <w:rFonts w:ascii="Arial" w:hAnsi="Arial" w:cs="Arial"/>
          <w:sz w:val="24"/>
          <w:szCs w:val="24"/>
        </w:rPr>
        <w:t xml:space="preserve">, mai 2023, n° 24, disponible sur </w:t>
      </w:r>
      <w:hyperlink r:id="rId18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https://journals.openedition.org/cliothemis/3379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3 avril 2024).</w:t>
      </w:r>
    </w:p>
    <w:p w14:paraId="18997B25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6B70">
        <w:rPr>
          <w:rFonts w:ascii="Arial" w:hAnsi="Arial" w:cs="Arial"/>
          <w:sz w:val="24"/>
          <w:szCs w:val="24"/>
        </w:rPr>
        <w:t>Yschard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, M., « La mission d’avocat dans la Rome impériale d’après la correspondance de Pline le Jeune »,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Criminocorpus</w:t>
      </w:r>
      <w:proofErr w:type="spellEnd"/>
      <w:r w:rsidRPr="00EF6B70">
        <w:rPr>
          <w:rFonts w:ascii="Arial" w:hAnsi="Arial" w:cs="Arial"/>
          <w:i/>
          <w:iCs/>
          <w:sz w:val="24"/>
          <w:szCs w:val="24"/>
        </w:rPr>
        <w:t>. Revue d’Histoire de la justice, des crimes et des peines</w:t>
      </w:r>
      <w:r w:rsidRPr="00EF6B70">
        <w:rPr>
          <w:rFonts w:ascii="Arial" w:hAnsi="Arial" w:cs="Arial"/>
          <w:sz w:val="24"/>
          <w:szCs w:val="24"/>
        </w:rPr>
        <w:t xml:space="preserve">, juillet 2016, disponible sur </w:t>
      </w:r>
      <w:hyperlink r:id="rId19" w:history="1">
        <w:r w:rsidRPr="00EF6B70">
          <w:rPr>
            <w:rStyle w:val="Lienhypertexte"/>
            <w:rFonts w:ascii="Arial" w:hAnsi="Arial" w:cs="Arial"/>
            <w:sz w:val="24"/>
            <w:szCs w:val="24"/>
          </w:rPr>
          <w:t>https://journals.openedition.org/criminocorpus/3328</w:t>
        </w:r>
      </w:hyperlink>
      <w:r w:rsidRPr="00EF6B70">
        <w:rPr>
          <w:rFonts w:ascii="Arial" w:hAnsi="Arial" w:cs="Arial"/>
          <w:sz w:val="24"/>
          <w:szCs w:val="24"/>
        </w:rPr>
        <w:t xml:space="preserve"> (Consulté le 3 avril 2024).</w:t>
      </w:r>
    </w:p>
    <w:p w14:paraId="5315EDD7" w14:textId="77777777" w:rsidR="00E46A3A" w:rsidRPr="00EF6B70" w:rsidRDefault="00E46A3A" w:rsidP="00E46A3A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b/>
          <w:bCs/>
          <w:sz w:val="24"/>
          <w:szCs w:val="24"/>
        </w:rPr>
        <w:t>Documentaire</w:t>
      </w:r>
    </w:p>
    <w:p w14:paraId="0B52422D" w14:textId="77777777" w:rsidR="00E46A3A" w:rsidRPr="0013733F" w:rsidRDefault="00E46A3A" w:rsidP="00E46A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6B70">
        <w:rPr>
          <w:rFonts w:ascii="Arial" w:hAnsi="Arial" w:cs="Arial"/>
          <w:i/>
          <w:iCs/>
          <w:sz w:val="24"/>
          <w:szCs w:val="24"/>
        </w:rPr>
        <w:t>À voix haute : la force de la parole</w:t>
      </w:r>
      <w:r w:rsidRPr="00EF6B70">
        <w:rPr>
          <w:rFonts w:ascii="Arial" w:hAnsi="Arial" w:cs="Arial"/>
          <w:sz w:val="24"/>
          <w:szCs w:val="24"/>
        </w:rPr>
        <w:t>, Paris, TF1 Vidéo, 2017.</w:t>
      </w:r>
      <w:r>
        <w:rPr>
          <w:rFonts w:ascii="Arial" w:hAnsi="Arial" w:cs="Arial"/>
          <w:sz w:val="24"/>
          <w:szCs w:val="24"/>
        </w:rPr>
        <w:t xml:space="preserve"> </w:t>
      </w:r>
      <w:r w:rsidRPr="0013733F">
        <w:rPr>
          <w:rFonts w:ascii="Arial" w:hAnsi="Arial" w:cs="Arial"/>
          <w:b/>
          <w:bCs/>
          <w:sz w:val="24"/>
          <w:szCs w:val="24"/>
        </w:rPr>
        <w:t>Cote : D 791.43 FRE</w:t>
      </w:r>
    </w:p>
    <w:p w14:paraId="6DC16F7E" w14:textId="77777777" w:rsidR="00E46A3A" w:rsidRDefault="00E46A3A" w:rsidP="00E46A3A">
      <w:pPr>
        <w:jc w:val="both"/>
        <w:rPr>
          <w:rFonts w:ascii="Arial" w:hAnsi="Arial" w:cs="Arial"/>
          <w:sz w:val="24"/>
          <w:szCs w:val="24"/>
        </w:rPr>
      </w:pPr>
      <w:r w:rsidRPr="00EF6B70">
        <w:rPr>
          <w:rFonts w:ascii="Arial" w:hAnsi="Arial" w:cs="Arial"/>
          <w:sz w:val="24"/>
          <w:szCs w:val="24"/>
        </w:rPr>
        <w:t xml:space="preserve">Dans le cadre du concours </w:t>
      </w:r>
      <w:proofErr w:type="spellStart"/>
      <w:r w:rsidRPr="00EF6B70">
        <w:rPr>
          <w:rFonts w:ascii="Arial" w:hAnsi="Arial" w:cs="Arial"/>
          <w:i/>
          <w:iCs/>
          <w:sz w:val="24"/>
          <w:szCs w:val="24"/>
        </w:rPr>
        <w:t>Eloquentia</w:t>
      </w:r>
      <w:proofErr w:type="spellEnd"/>
      <w:r w:rsidRPr="00EF6B70">
        <w:rPr>
          <w:rFonts w:ascii="Arial" w:hAnsi="Arial" w:cs="Arial"/>
          <w:sz w:val="24"/>
          <w:szCs w:val="24"/>
        </w:rPr>
        <w:t xml:space="preserve"> organisé par leur Université, des étudiants de Saint-Denis apprennent à s’exprimer par le biais du plaidoyer mais aussi du théâtre, de la poésie et du chant. L’art de la rhétorique s’ouvre à eux, et avec lui celui de l’écoute, de l’affirmation de ses opinions et de la confiance en soi. Le portrait d’une jeunesse déterminée à prendre sa place et à se faire entendre, loin des préjugés sur la banlieue.</w:t>
      </w:r>
    </w:p>
    <w:p w14:paraId="30DF28FD" w14:textId="77777777" w:rsidR="00E46A3A" w:rsidRPr="0013733F" w:rsidRDefault="00E46A3A" w:rsidP="00E46A3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3733F">
        <w:rPr>
          <w:rFonts w:ascii="Arial" w:hAnsi="Arial" w:cs="Arial"/>
          <w:b/>
          <w:bCs/>
          <w:sz w:val="24"/>
          <w:szCs w:val="24"/>
        </w:rPr>
        <w:t>Fiction</w:t>
      </w:r>
    </w:p>
    <w:p w14:paraId="711DDA34" w14:textId="714FD020" w:rsidR="00DE575D" w:rsidRPr="00DE575D" w:rsidRDefault="00DE575D" w:rsidP="00DE57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575D">
        <w:rPr>
          <w:rFonts w:ascii="Arial" w:hAnsi="Arial" w:cs="Arial"/>
        </w:rPr>
        <w:t>Freitas, S</w:t>
      </w:r>
      <w:r>
        <w:rPr>
          <w:rFonts w:ascii="Arial" w:hAnsi="Arial" w:cs="Arial"/>
        </w:rPr>
        <w:t>.</w:t>
      </w:r>
      <w:r w:rsidRPr="00DE575D">
        <w:rPr>
          <w:rFonts w:ascii="Arial" w:hAnsi="Arial" w:cs="Arial"/>
        </w:rPr>
        <w:t xml:space="preserve"> de, Le Baba au rhum, et Christo. </w:t>
      </w:r>
      <w:proofErr w:type="spellStart"/>
      <w:r w:rsidRPr="00DE575D">
        <w:rPr>
          <w:rFonts w:ascii="Arial" w:hAnsi="Arial" w:cs="Arial"/>
          <w:i/>
          <w:iCs/>
        </w:rPr>
        <w:t>Rhétorix</w:t>
      </w:r>
      <w:proofErr w:type="spellEnd"/>
      <w:r w:rsidRPr="00DE575D">
        <w:rPr>
          <w:rFonts w:ascii="Arial" w:hAnsi="Arial" w:cs="Arial"/>
          <w:i/>
          <w:iCs/>
        </w:rPr>
        <w:t> : ou comment prendre la parole sans s’évanouir</w:t>
      </w:r>
      <w:r w:rsidRPr="00DE575D">
        <w:rPr>
          <w:rFonts w:ascii="Arial" w:hAnsi="Arial" w:cs="Arial"/>
        </w:rPr>
        <w:t xml:space="preserve">. Paris: Le Robert, 2022. </w:t>
      </w:r>
      <w:r w:rsidRPr="00DE575D">
        <w:rPr>
          <w:rFonts w:ascii="Arial" w:hAnsi="Arial" w:cs="Arial"/>
          <w:b/>
        </w:rPr>
        <w:t>Cote : BD FRE</w:t>
      </w:r>
    </w:p>
    <w:p w14:paraId="7C344142" w14:textId="77777777" w:rsidR="00E46A3A" w:rsidRDefault="00E46A3A" w:rsidP="00E46A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733F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13733F">
        <w:rPr>
          <w:rFonts w:ascii="Arial" w:hAnsi="Arial" w:cs="Arial"/>
          <w:i/>
          <w:iCs/>
          <w:sz w:val="24"/>
          <w:szCs w:val="24"/>
        </w:rPr>
        <w:t>King’s</w:t>
      </w:r>
      <w:proofErr w:type="spellEnd"/>
      <w:r w:rsidRPr="0013733F">
        <w:rPr>
          <w:rFonts w:ascii="Arial" w:hAnsi="Arial" w:cs="Arial"/>
          <w:i/>
          <w:iCs/>
          <w:sz w:val="24"/>
          <w:szCs w:val="24"/>
        </w:rPr>
        <w:t xml:space="preserve"> Speech = Le discours d’un roi</w:t>
      </w:r>
      <w:r w:rsidRPr="0013733F">
        <w:rPr>
          <w:rFonts w:ascii="Arial" w:hAnsi="Arial" w:cs="Arial"/>
          <w:sz w:val="24"/>
          <w:szCs w:val="24"/>
        </w:rPr>
        <w:t xml:space="preserve">, Paris, France, Wild </w:t>
      </w:r>
      <w:proofErr w:type="spellStart"/>
      <w:r w:rsidRPr="0013733F">
        <w:rPr>
          <w:rFonts w:ascii="Arial" w:hAnsi="Arial" w:cs="Arial"/>
          <w:sz w:val="24"/>
          <w:szCs w:val="24"/>
        </w:rPr>
        <w:t>Side</w:t>
      </w:r>
      <w:proofErr w:type="spellEnd"/>
      <w:r w:rsidRPr="0013733F">
        <w:rPr>
          <w:rFonts w:ascii="Arial" w:hAnsi="Arial" w:cs="Arial"/>
          <w:sz w:val="24"/>
          <w:szCs w:val="24"/>
        </w:rPr>
        <w:t xml:space="preserve"> Vidéo, 2012.</w:t>
      </w:r>
      <w:r>
        <w:rPr>
          <w:rFonts w:ascii="Arial" w:hAnsi="Arial" w:cs="Arial"/>
          <w:sz w:val="24"/>
          <w:szCs w:val="24"/>
        </w:rPr>
        <w:t xml:space="preserve"> </w:t>
      </w:r>
      <w:r w:rsidRPr="0013733F">
        <w:rPr>
          <w:rFonts w:ascii="Arial" w:hAnsi="Arial" w:cs="Arial"/>
          <w:b/>
          <w:bCs/>
          <w:sz w:val="24"/>
          <w:szCs w:val="24"/>
        </w:rPr>
        <w:t>Cote : D 791.43 HOO</w:t>
      </w:r>
    </w:p>
    <w:p w14:paraId="6BFCE2D3" w14:textId="77777777" w:rsidR="00E46A3A" w:rsidRPr="0016398C" w:rsidRDefault="00E46A3A" w:rsidP="0005025E">
      <w:pPr>
        <w:rPr>
          <w:rFonts w:ascii="Arial" w:hAnsi="Arial" w:cs="Arial"/>
        </w:rPr>
      </w:pPr>
    </w:p>
    <w:sectPr w:rsidR="00E46A3A" w:rsidRPr="0016398C" w:rsidSect="00172A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BE7B7" w14:textId="77777777" w:rsidR="00FA1A28" w:rsidRDefault="00FA1A28" w:rsidP="00A27461">
      <w:pPr>
        <w:spacing w:after="0" w:line="240" w:lineRule="auto"/>
      </w:pPr>
      <w:r>
        <w:separator/>
      </w:r>
    </w:p>
  </w:endnote>
  <w:endnote w:type="continuationSeparator" w:id="0">
    <w:p w14:paraId="66C3AA37" w14:textId="77777777" w:rsidR="00FA1A28" w:rsidRDefault="00FA1A28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  <w:lang w:eastAsia="fr-FR"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41F2F" w:rsidRPr="00841F2F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41F2F" w:rsidRPr="00841F2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0FB7" w14:textId="77777777" w:rsidR="00FA1A28" w:rsidRDefault="00FA1A28" w:rsidP="00A27461">
      <w:pPr>
        <w:spacing w:after="0" w:line="240" w:lineRule="auto"/>
      </w:pPr>
      <w:r>
        <w:separator/>
      </w:r>
    </w:p>
  </w:footnote>
  <w:footnote w:type="continuationSeparator" w:id="0">
    <w:p w14:paraId="393590AA" w14:textId="77777777" w:rsidR="00FA1A28" w:rsidRDefault="00FA1A28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5C5"/>
    <w:multiLevelType w:val="hybridMultilevel"/>
    <w:tmpl w:val="072EC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5025E"/>
    <w:rsid w:val="000954FA"/>
    <w:rsid w:val="000B14A6"/>
    <w:rsid w:val="000D6F4F"/>
    <w:rsid w:val="000E69A3"/>
    <w:rsid w:val="00164472"/>
    <w:rsid w:val="00172AD9"/>
    <w:rsid w:val="0018548A"/>
    <w:rsid w:val="001C7922"/>
    <w:rsid w:val="001E6444"/>
    <w:rsid w:val="002367C8"/>
    <w:rsid w:val="002667D8"/>
    <w:rsid w:val="00271AA7"/>
    <w:rsid w:val="002C35E6"/>
    <w:rsid w:val="002D2AFC"/>
    <w:rsid w:val="00303C4B"/>
    <w:rsid w:val="00316067"/>
    <w:rsid w:val="0036056F"/>
    <w:rsid w:val="00480EF7"/>
    <w:rsid w:val="004A16DD"/>
    <w:rsid w:val="004F4EFF"/>
    <w:rsid w:val="005750C7"/>
    <w:rsid w:val="00577307"/>
    <w:rsid w:val="005C084F"/>
    <w:rsid w:val="00634365"/>
    <w:rsid w:val="006C6A13"/>
    <w:rsid w:val="0074088D"/>
    <w:rsid w:val="00757ECB"/>
    <w:rsid w:val="0076772F"/>
    <w:rsid w:val="007D1A06"/>
    <w:rsid w:val="00841F2F"/>
    <w:rsid w:val="00842582"/>
    <w:rsid w:val="008665EC"/>
    <w:rsid w:val="00870811"/>
    <w:rsid w:val="0088531B"/>
    <w:rsid w:val="009222BC"/>
    <w:rsid w:val="00981DFC"/>
    <w:rsid w:val="009C115F"/>
    <w:rsid w:val="009D6F58"/>
    <w:rsid w:val="00A27461"/>
    <w:rsid w:val="00A60283"/>
    <w:rsid w:val="00A86200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DE575D"/>
    <w:rsid w:val="00E46A3A"/>
    <w:rsid w:val="00E63675"/>
    <w:rsid w:val="00EB597E"/>
    <w:rsid w:val="00F013C4"/>
    <w:rsid w:val="00F14164"/>
    <w:rsid w:val="00F1770E"/>
    <w:rsid w:val="00F268BC"/>
    <w:rsid w:val="00F818FF"/>
    <w:rsid w:val="00F843EA"/>
    <w:rsid w:val="00F969CC"/>
    <w:rsid w:val="00FA1A28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4BC56"/>
  <w15:docId w15:val="{28DA85DF-497B-4474-BBA2-C986B93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46A3A"/>
    <w:pPr>
      <w:ind w:left="720"/>
      <w:contextualSpacing/>
    </w:pPr>
    <w:rPr>
      <w:kern w:val="2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841F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ica.bnf.fr/ark:/12148/bpt6k317029v" TargetMode="External"/><Relationship Id="rId13" Type="http://schemas.openxmlformats.org/officeDocument/2006/relationships/hyperlink" Target="https://www.theses.fr/2014BORD0148/document" TargetMode="External"/><Relationship Id="rId18" Type="http://schemas.openxmlformats.org/officeDocument/2006/relationships/hyperlink" Target="https://journals.openedition.org/cliothemis/337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hyperlink" Target="https://www.theses.fr/2017CNAM1109/document" TargetMode="External"/><Relationship Id="rId17" Type="http://schemas.openxmlformats.org/officeDocument/2006/relationships/hyperlink" Target="https://journals.openedition.org/recherchestravaux/385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cairn.info/revue-dialogues-d-histoire-ancienne-2013-Supplement8-page-81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heque-lefebvre-dalloz-fr.federation.unimes.fr:8443/ouvrage/guides-dalloz/guide-defense-penale-2015-2016_978224714037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ahiers.irafpa.org/article/view/412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ibliotheque-lefebvre-dalloz-fr.federation.unimes.fr:8443/ouvrage/methodes-droit/assimilation-droit_9782247218288" TargetMode="External"/><Relationship Id="rId19" Type="http://schemas.openxmlformats.org/officeDocument/2006/relationships/hyperlink" Target="https://journals.openedition.org/criminocorpus/3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lica.bnf.fr/ark:/12148/bpt6k316939q" TargetMode="External"/><Relationship Id="rId14" Type="http://schemas.openxmlformats.org/officeDocument/2006/relationships/hyperlink" Target="https://www.theses.fr/2019NORMR096/documen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Barre</dc:creator>
  <cp:lastModifiedBy>Florence Barre</cp:lastModifiedBy>
  <cp:revision>2</cp:revision>
  <dcterms:created xsi:type="dcterms:W3CDTF">2025-04-21T13:22:00Z</dcterms:created>
  <dcterms:modified xsi:type="dcterms:W3CDTF">2025-04-21T13:22:00Z</dcterms:modified>
</cp:coreProperties>
</file>