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12831E9E" w:rsidR="00A60283" w:rsidRDefault="00DC78A5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La baleine et l’océan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12831E9E" w:rsidR="00A60283" w:rsidRDefault="00DC78A5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La baleine et l’océan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05025E">
      <w:pPr>
        <w:rPr>
          <w:rFonts w:ascii="Arial" w:hAnsi="Arial" w:cs="Arial"/>
        </w:rPr>
      </w:pPr>
    </w:p>
    <w:p w14:paraId="2BB9C481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>1 - La baleine : b</w:t>
      </w:r>
      <w:r w:rsidRPr="00E44349">
        <w:rPr>
          <w:rFonts w:ascii="Arial" w:eastAsia="Times New Roman" w:hAnsi="Arial" w:cs="Arial"/>
          <w:b/>
          <w:sz w:val="24"/>
          <w:szCs w:val="24"/>
          <w:lang w:eastAsia="fr-FR"/>
        </w:rPr>
        <w:t>iologie</w:t>
      </w:r>
    </w:p>
    <w:p w14:paraId="10B44449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6EAC5991" w14:textId="77777777" w:rsidR="00DC78A5" w:rsidRPr="008820B8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BOMSEL, M.-C. (1999, </w:t>
      </w:r>
      <w:proofErr w:type="spellStart"/>
      <w:r w:rsidRPr="008820B8">
        <w:rPr>
          <w:rFonts w:ascii="Arial" w:eastAsia="Times New Roman" w:hAnsi="Arial" w:cs="Arial"/>
          <w:sz w:val="24"/>
          <w:szCs w:val="24"/>
          <w:lang w:eastAsia="fr-FR"/>
        </w:rPr>
        <w:t>January</w:t>
      </w:r>
      <w:proofErr w:type="spellEnd"/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 19). </w:t>
      </w:r>
      <w:r w:rsidRPr="008820B8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BALEINE À FANONS</w:t>
      </w:r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 [</w:t>
      </w:r>
      <w:proofErr w:type="spellStart"/>
      <w:r w:rsidRPr="008820B8">
        <w:rPr>
          <w:rFonts w:ascii="Arial" w:eastAsia="Times New Roman" w:hAnsi="Arial" w:cs="Arial"/>
          <w:sz w:val="24"/>
          <w:szCs w:val="24"/>
          <w:lang w:eastAsia="fr-FR"/>
        </w:rPr>
        <w:t>Webpage</w:t>
      </w:r>
      <w:proofErr w:type="spellEnd"/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]. </w:t>
      </w:r>
      <w:proofErr w:type="spellStart"/>
      <w:r w:rsidRPr="008820B8">
        <w:rPr>
          <w:rFonts w:ascii="Arial" w:eastAsia="Times New Roman" w:hAnsi="Arial" w:cs="Arial"/>
          <w:sz w:val="24"/>
          <w:szCs w:val="24"/>
          <w:lang w:eastAsia="fr-FR"/>
        </w:rPr>
        <w:t>Encyclopædia</w:t>
      </w:r>
      <w:proofErr w:type="spellEnd"/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8820B8">
        <w:rPr>
          <w:rFonts w:ascii="Arial" w:eastAsia="Times New Roman" w:hAnsi="Arial" w:cs="Arial"/>
          <w:sz w:val="24"/>
          <w:szCs w:val="24"/>
          <w:lang w:eastAsia="fr-FR"/>
        </w:rPr>
        <w:t>Universalis</w:t>
      </w:r>
      <w:proofErr w:type="spellEnd"/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hyperlink r:id="rId11" w:history="1">
        <w:r w:rsidRPr="002C57A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https://www.universalis-edu.com/encyclopedie/baleine-a-fanons</w:t>
        </w:r>
      </w:hyperlink>
    </w:p>
    <w:p w14:paraId="64F50097" w14:textId="77777777" w:rsidR="00DC78A5" w:rsidRDefault="00DC78A5" w:rsidP="00DC78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62496DF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64BC9FB5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>Haffner, P., Haffner, P., &amp; Savouré-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Soubelet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>, A. (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with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Moutou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F.). (2018).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Les mammifères de tout poil</w:t>
      </w:r>
      <w:r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: 90 clés pour comprendre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. Éditions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Quæ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(599.012 HAF)</w:t>
      </w:r>
    </w:p>
    <w:p w14:paraId="3347D386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58A7D51" w14:textId="77777777" w:rsidR="00DC78A5" w:rsidRPr="002C57AB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MANARANCHE, R., &amp; RIDOUX, V. (2007, </w:t>
      </w:r>
      <w:proofErr w:type="spellStart"/>
      <w:r w:rsidRPr="008820B8">
        <w:rPr>
          <w:rFonts w:ascii="Arial" w:eastAsia="Times New Roman" w:hAnsi="Arial" w:cs="Arial"/>
          <w:sz w:val="24"/>
          <w:szCs w:val="24"/>
          <w:lang w:eastAsia="fr-FR"/>
        </w:rPr>
        <w:t>September</w:t>
      </w:r>
      <w:proofErr w:type="spellEnd"/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 10). </w:t>
      </w:r>
      <w:r w:rsidRPr="008820B8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CÉTACÉS</w:t>
      </w:r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 [</w:t>
      </w:r>
      <w:proofErr w:type="spellStart"/>
      <w:r w:rsidRPr="008820B8">
        <w:rPr>
          <w:rFonts w:ascii="Arial" w:eastAsia="Times New Roman" w:hAnsi="Arial" w:cs="Arial"/>
          <w:sz w:val="24"/>
          <w:szCs w:val="24"/>
          <w:lang w:eastAsia="fr-FR"/>
        </w:rPr>
        <w:t>Webpage</w:t>
      </w:r>
      <w:proofErr w:type="spellEnd"/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]. </w:t>
      </w:r>
      <w:proofErr w:type="spellStart"/>
      <w:r w:rsidRPr="008820B8">
        <w:rPr>
          <w:rFonts w:ascii="Arial" w:eastAsia="Times New Roman" w:hAnsi="Arial" w:cs="Arial"/>
          <w:sz w:val="24"/>
          <w:szCs w:val="24"/>
          <w:lang w:eastAsia="fr-FR"/>
        </w:rPr>
        <w:t>Encyclopædia</w:t>
      </w:r>
      <w:proofErr w:type="spellEnd"/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8820B8">
        <w:rPr>
          <w:rFonts w:ascii="Arial" w:eastAsia="Times New Roman" w:hAnsi="Arial" w:cs="Arial"/>
          <w:sz w:val="24"/>
          <w:szCs w:val="24"/>
          <w:lang w:eastAsia="fr-FR"/>
        </w:rPr>
        <w:t>Universalis</w:t>
      </w:r>
      <w:proofErr w:type="spellEnd"/>
      <w:r w:rsidRPr="008820B8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hyperlink r:id="rId12" w:history="1">
        <w:r w:rsidRPr="002C57A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https://www.universalis-edu.com/encyclopedie/cetaces</w:t>
        </w:r>
      </w:hyperlink>
    </w:p>
    <w:p w14:paraId="0CF66AC4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46A889D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Mustill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T., &amp;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Boraso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M. (2023).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Comment parler </w:t>
      </w:r>
      <w:proofErr w:type="gramStart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baleine:</w:t>
      </w:r>
      <w:proofErr w:type="gramEnd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L’incroyable avenir de la communication animale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Albin Michel</w:t>
      </w:r>
      <w:r>
        <w:rPr>
          <w:rFonts w:ascii="Arial" w:eastAsia="Times New Roman" w:hAnsi="Arial" w:cs="Arial"/>
          <w:sz w:val="24"/>
          <w:szCs w:val="24"/>
          <w:lang w:eastAsia="fr-FR"/>
        </w:rPr>
        <w:t>. (591.59 MUS)</w:t>
      </w:r>
    </w:p>
    <w:p w14:paraId="6607DDB4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6D12718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Weinberg, S. (2020).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Vie </w:t>
      </w:r>
      <w:proofErr w:type="gramStart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océane:</w:t>
      </w:r>
      <w:proofErr w:type="gramEnd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La biologie marine pour tous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Éditions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 Gap.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(577.7 WEI)</w:t>
      </w:r>
    </w:p>
    <w:p w14:paraId="30D5A25B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EC24059" w14:textId="77777777" w:rsidR="00DC78A5" w:rsidRPr="006120EC" w:rsidRDefault="00DC78A5" w:rsidP="00DC78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D2B4E27" w14:textId="77777777" w:rsidR="00DC78A5" w:rsidRPr="00E44349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11621460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2 - La baleine et son environnement </w:t>
      </w:r>
    </w:p>
    <w:p w14:paraId="7AB4510E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72969067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Agostini, F., Boucher, J., Bousquet, N., &amp; Cousteau, P.-Y. (2018).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L’Océan est notre </w:t>
      </w:r>
      <w:proofErr w:type="gramStart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avenir:</w:t>
      </w:r>
      <w:proofErr w:type="gramEnd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Manifeste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Autrement.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(577.7 OCE)</w:t>
      </w:r>
    </w:p>
    <w:p w14:paraId="152EA540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9863608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542695">
        <w:rPr>
          <w:rFonts w:ascii="Arial" w:eastAsia="Times New Roman" w:hAnsi="Arial" w:cs="Arial"/>
          <w:sz w:val="24"/>
          <w:szCs w:val="24"/>
          <w:lang w:eastAsia="fr-FR"/>
        </w:rPr>
        <w:t xml:space="preserve">Bouchard, B., </w:t>
      </w:r>
      <w:proofErr w:type="spellStart"/>
      <w:r w:rsidRPr="00542695">
        <w:rPr>
          <w:rFonts w:ascii="Arial" w:eastAsia="Times New Roman" w:hAnsi="Arial" w:cs="Arial"/>
          <w:sz w:val="24"/>
          <w:szCs w:val="24"/>
          <w:lang w:eastAsia="fr-FR"/>
        </w:rPr>
        <w:t>Célérier</w:t>
      </w:r>
      <w:proofErr w:type="spellEnd"/>
      <w:r w:rsidRPr="00542695">
        <w:rPr>
          <w:rFonts w:ascii="Arial" w:eastAsia="Times New Roman" w:hAnsi="Arial" w:cs="Arial"/>
          <w:sz w:val="24"/>
          <w:szCs w:val="24"/>
          <w:lang w:eastAsia="fr-FR"/>
        </w:rPr>
        <w:t>, A., Propos recueillis par Rowe-</w:t>
      </w:r>
      <w:proofErr w:type="spellStart"/>
      <w:r w:rsidRPr="00542695">
        <w:rPr>
          <w:rFonts w:ascii="Arial" w:eastAsia="Times New Roman" w:hAnsi="Arial" w:cs="Arial"/>
          <w:sz w:val="24"/>
          <w:szCs w:val="24"/>
          <w:lang w:eastAsia="fr-FR"/>
        </w:rPr>
        <w:t>Pirra</w:t>
      </w:r>
      <w:proofErr w:type="spellEnd"/>
      <w:r w:rsidRPr="00542695">
        <w:rPr>
          <w:rFonts w:ascii="Arial" w:eastAsia="Times New Roman" w:hAnsi="Arial" w:cs="Arial"/>
          <w:sz w:val="24"/>
          <w:szCs w:val="24"/>
          <w:lang w:eastAsia="fr-FR"/>
        </w:rPr>
        <w:t xml:space="preserve">, W. (2023). « Chez les cétacés, la quête de nourriture est multisensorielle » Pour la Science, 549 – </w:t>
      </w:r>
      <w:proofErr w:type="gramStart"/>
      <w:r w:rsidRPr="00542695">
        <w:rPr>
          <w:rFonts w:ascii="Arial" w:eastAsia="Times New Roman" w:hAnsi="Arial" w:cs="Arial"/>
          <w:sz w:val="24"/>
          <w:szCs w:val="24"/>
          <w:lang w:eastAsia="fr-FR"/>
        </w:rPr>
        <w:t>juillet(</w:t>
      </w:r>
      <w:proofErr w:type="gramEnd"/>
      <w:r w:rsidRPr="00542695">
        <w:rPr>
          <w:rFonts w:ascii="Arial" w:eastAsia="Times New Roman" w:hAnsi="Arial" w:cs="Arial"/>
          <w:sz w:val="24"/>
          <w:szCs w:val="24"/>
          <w:lang w:eastAsia="fr-FR"/>
        </w:rPr>
        <w:t xml:space="preserve">7), 34-37. </w:t>
      </w:r>
      <w:hyperlink r:id="rId13" w:history="1">
        <w:r w:rsidRPr="006843A4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https://doi.org/10.3917/pls.549.0034</w:t>
        </w:r>
      </w:hyperlink>
      <w:r w:rsidRPr="00542695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6CD3AA12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F30543A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Carson, R. L., &amp;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Collin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Delavaud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>, H. (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with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 Durand, S., Durand, S., Pauly, D., Karsenti, É. (19-, Karsenti, É., &amp;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Sardet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C.). (2019).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La mer autour de nous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 ([Nouvelle édition]).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Wildproject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(577.7 CAR)</w:t>
      </w:r>
    </w:p>
    <w:p w14:paraId="4C1BE6E6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575D760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Euzen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A.,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Euzen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A.,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Gaill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F. (19-,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Gaill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F., Lacroix, D., Lacroix, D., &amp;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Cury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P. (2017).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L’océan à découvert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CNRS Éditions.</w:t>
      </w:r>
    </w:p>
    <w:p w14:paraId="74D46533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Fieux, M., &amp;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Andrié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C. (2019).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L’océan planétaire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 (2e édition). Les Presses de l’ENSTA.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(551.46 FIE)</w:t>
      </w:r>
    </w:p>
    <w:p w14:paraId="133B41E0" w14:textId="77777777" w:rsidR="00DC78A5" w:rsidRPr="0054269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35AFB06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B0B96">
        <w:rPr>
          <w:rFonts w:ascii="Arial" w:eastAsia="Times New Roman" w:hAnsi="Arial" w:cs="Arial"/>
          <w:sz w:val="24"/>
          <w:szCs w:val="24"/>
          <w:lang w:eastAsia="fr-FR"/>
        </w:rPr>
        <w:t xml:space="preserve">Jacquet, S. (2022). Un nouveau rôle écologique attribué aux baleines. </w:t>
      </w:r>
      <w:proofErr w:type="spellStart"/>
      <w:r w:rsidRPr="006B0B96">
        <w:rPr>
          <w:rFonts w:ascii="Arial" w:eastAsia="Times New Roman" w:hAnsi="Arial" w:cs="Arial"/>
          <w:sz w:val="24"/>
          <w:szCs w:val="24"/>
          <w:lang w:eastAsia="fr-FR"/>
        </w:rPr>
        <w:t>Subaqua</w:t>
      </w:r>
      <w:proofErr w:type="spellEnd"/>
      <w:r w:rsidRPr="006B0B96">
        <w:rPr>
          <w:rFonts w:ascii="Arial" w:eastAsia="Times New Roman" w:hAnsi="Arial" w:cs="Arial"/>
          <w:sz w:val="24"/>
          <w:szCs w:val="24"/>
          <w:lang w:eastAsia="fr-FR"/>
        </w:rPr>
        <w:t xml:space="preserve"> (Marseille), n° 301, mars-avril 2022, pp 68-69. </w:t>
      </w:r>
      <w:hyperlink r:id="rId14" w:history="1">
        <w:r w:rsidRPr="006843A4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https://hal.science/hal-03770063v1</w:t>
        </w:r>
      </w:hyperlink>
    </w:p>
    <w:p w14:paraId="345D0E6A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0FECE4C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Lévy, M., Lévy, M., &amp; Bopp, L. (2025).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L’océan en 30 questions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La Documentation française.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(577.7 LEV)</w:t>
      </w:r>
    </w:p>
    <w:p w14:paraId="7A3D38FC" w14:textId="77777777" w:rsidR="00DC78A5" w:rsidRDefault="00DC78A5" w:rsidP="00DC78A5">
      <w:pPr>
        <w:spacing w:line="240" w:lineRule="auto"/>
        <w:ind w:hanging="426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9C013A9" w14:textId="77777777" w:rsidR="00DC78A5" w:rsidRPr="00A41B10" w:rsidRDefault="00DC78A5" w:rsidP="00DC78A5">
      <w:pPr>
        <w:spacing w:line="240" w:lineRule="auto"/>
        <w:ind w:hanging="426"/>
        <w:rPr>
          <w:rFonts w:ascii="Arial" w:hAnsi="Arial" w:cs="Arial"/>
          <w:sz w:val="24"/>
          <w:szCs w:val="24"/>
        </w:rPr>
      </w:pPr>
      <w:r w:rsidRPr="004441BE">
        <w:rPr>
          <w:rFonts w:ascii="Arial" w:hAnsi="Arial" w:cs="Arial"/>
          <w:color w:val="222222"/>
          <w:sz w:val="24"/>
          <w:szCs w:val="24"/>
          <w:shd w:val="clear" w:color="auto" w:fill="FFFFFF"/>
        </w:rPr>
        <w:t>Pomerleau, C. (2012). </w:t>
      </w:r>
      <w:r w:rsidRPr="004441BE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Écologie alimentaire de la baleine boréale (</w:t>
      </w:r>
      <w:proofErr w:type="spellStart"/>
      <w:r w:rsidRPr="004441BE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Balaena</w:t>
      </w:r>
      <w:proofErr w:type="spellEnd"/>
      <w:r w:rsidRPr="004441BE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441BE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mysticetus</w:t>
      </w:r>
      <w:proofErr w:type="spellEnd"/>
      <w:r w:rsidRPr="004441BE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) dans l'Arctique de l'est canadien</w:t>
      </w:r>
      <w:r w:rsidRPr="004441BE">
        <w:rPr>
          <w:rFonts w:ascii="Arial" w:hAnsi="Arial" w:cs="Arial"/>
          <w:color w:val="222222"/>
          <w:sz w:val="24"/>
          <w:szCs w:val="24"/>
          <w:shd w:val="clear" w:color="auto" w:fill="FFFFFF"/>
        </w:rPr>
        <w:t> (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Thèse de l’Institut des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Sceinces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la mer</w:t>
      </w:r>
      <w:r w:rsidRPr="004441BE">
        <w:rPr>
          <w:rFonts w:ascii="Arial" w:hAnsi="Arial" w:cs="Arial"/>
          <w:color w:val="222222"/>
          <w:sz w:val="24"/>
          <w:szCs w:val="24"/>
          <w:shd w:val="clear" w:color="auto" w:fill="FFFFFF"/>
        </w:rPr>
        <w:t>, Université du Québec à Rimouski)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203 </w:t>
      </w:r>
      <w:proofErr w:type="spellStart"/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p.</w:t>
      </w:r>
      <w:r w:rsidRPr="004441BE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4441BE">
        <w:rPr>
          <w:rFonts w:ascii="Arial" w:hAnsi="Arial" w:cs="Arial"/>
          <w:sz w:val="24"/>
          <w:szCs w:val="24"/>
        </w:rPr>
        <w:t>https</w:t>
      </w:r>
      <w:proofErr w:type="spellEnd"/>
      <w:r w:rsidRPr="004441BE">
        <w:rPr>
          <w:rFonts w:ascii="Arial" w:hAnsi="Arial" w:cs="Arial"/>
          <w:sz w:val="24"/>
          <w:szCs w:val="24"/>
        </w:rPr>
        <w:t>://semaphore.uqar.ca/id/</w:t>
      </w:r>
      <w:proofErr w:type="spellStart"/>
      <w:r w:rsidRPr="004441BE">
        <w:rPr>
          <w:rFonts w:ascii="Arial" w:hAnsi="Arial" w:cs="Arial"/>
          <w:sz w:val="24"/>
          <w:szCs w:val="24"/>
        </w:rPr>
        <w:t>eprint</w:t>
      </w:r>
      <w:proofErr w:type="spellEnd"/>
      <w:r w:rsidRPr="004441BE">
        <w:rPr>
          <w:rFonts w:ascii="Arial" w:hAnsi="Arial" w:cs="Arial"/>
          <w:sz w:val="24"/>
          <w:szCs w:val="24"/>
        </w:rPr>
        <w:t>/972/</w:t>
      </w:r>
      <w:proofErr w:type="gramEnd"/>
    </w:p>
    <w:p w14:paraId="78BEF476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0B54A4D" w14:textId="77777777" w:rsidR="00DC78A5" w:rsidRPr="00E44349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>3 - La b</w:t>
      </w:r>
      <w:r w:rsidRPr="00E4434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aleine et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l’H</w:t>
      </w:r>
      <w:r w:rsidRPr="00E44349">
        <w:rPr>
          <w:rFonts w:ascii="Arial" w:eastAsia="Times New Roman" w:hAnsi="Arial" w:cs="Arial"/>
          <w:b/>
          <w:sz w:val="24"/>
          <w:szCs w:val="24"/>
          <w:lang w:eastAsia="fr-FR"/>
        </w:rPr>
        <w:t>omme : la chasse</w:t>
      </w:r>
    </w:p>
    <w:p w14:paraId="55F05A7E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0CC6A8B" w14:textId="77777777" w:rsidR="00DC78A5" w:rsidRPr="00425DF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425DF5">
        <w:rPr>
          <w:rFonts w:ascii="Arial" w:eastAsia="Times New Roman" w:hAnsi="Arial" w:cs="Arial"/>
          <w:sz w:val="24"/>
          <w:szCs w:val="24"/>
          <w:lang w:eastAsia="fr-FR"/>
        </w:rPr>
        <w:t xml:space="preserve">CHARRASSIN, J.-B., &amp; RIDOUX, V. (2010, </w:t>
      </w:r>
      <w:proofErr w:type="spellStart"/>
      <w:r w:rsidRPr="00425DF5">
        <w:rPr>
          <w:rFonts w:ascii="Arial" w:eastAsia="Times New Roman" w:hAnsi="Arial" w:cs="Arial"/>
          <w:sz w:val="24"/>
          <w:szCs w:val="24"/>
          <w:lang w:eastAsia="fr-FR"/>
        </w:rPr>
        <w:t>February</w:t>
      </w:r>
      <w:proofErr w:type="spellEnd"/>
      <w:r w:rsidRPr="00425DF5">
        <w:rPr>
          <w:rFonts w:ascii="Arial" w:eastAsia="Times New Roman" w:hAnsi="Arial" w:cs="Arial"/>
          <w:sz w:val="24"/>
          <w:szCs w:val="24"/>
          <w:lang w:eastAsia="fr-FR"/>
        </w:rPr>
        <w:t xml:space="preserve"> 2). </w:t>
      </w:r>
      <w:r w:rsidRPr="00425DF5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CHASSE À LA BALEINE</w:t>
      </w:r>
      <w:r w:rsidRPr="00425DF5">
        <w:rPr>
          <w:rFonts w:ascii="Arial" w:eastAsia="Times New Roman" w:hAnsi="Arial" w:cs="Arial"/>
          <w:sz w:val="24"/>
          <w:szCs w:val="24"/>
          <w:lang w:eastAsia="fr-FR"/>
        </w:rPr>
        <w:t xml:space="preserve"> [</w:t>
      </w:r>
      <w:proofErr w:type="spellStart"/>
      <w:r w:rsidRPr="00425DF5">
        <w:rPr>
          <w:rFonts w:ascii="Arial" w:eastAsia="Times New Roman" w:hAnsi="Arial" w:cs="Arial"/>
          <w:sz w:val="24"/>
          <w:szCs w:val="24"/>
          <w:lang w:eastAsia="fr-FR"/>
        </w:rPr>
        <w:t>Webpage</w:t>
      </w:r>
      <w:proofErr w:type="spellEnd"/>
      <w:r w:rsidRPr="00425DF5">
        <w:rPr>
          <w:rFonts w:ascii="Arial" w:eastAsia="Times New Roman" w:hAnsi="Arial" w:cs="Arial"/>
          <w:sz w:val="24"/>
          <w:szCs w:val="24"/>
          <w:lang w:eastAsia="fr-FR"/>
        </w:rPr>
        <w:t xml:space="preserve">]. </w:t>
      </w:r>
      <w:proofErr w:type="spellStart"/>
      <w:r w:rsidRPr="00425DF5">
        <w:rPr>
          <w:rFonts w:ascii="Arial" w:eastAsia="Times New Roman" w:hAnsi="Arial" w:cs="Arial"/>
          <w:sz w:val="24"/>
          <w:szCs w:val="24"/>
          <w:lang w:eastAsia="fr-FR"/>
        </w:rPr>
        <w:t>Encyclopædia</w:t>
      </w:r>
      <w:proofErr w:type="spellEnd"/>
      <w:r w:rsidRPr="00425DF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25DF5">
        <w:rPr>
          <w:rFonts w:ascii="Arial" w:eastAsia="Times New Roman" w:hAnsi="Arial" w:cs="Arial"/>
          <w:sz w:val="24"/>
          <w:szCs w:val="24"/>
          <w:lang w:eastAsia="fr-FR"/>
        </w:rPr>
        <w:t>Universalis</w:t>
      </w:r>
      <w:proofErr w:type="spellEnd"/>
      <w:r w:rsidRPr="00425DF5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hyperlink r:id="rId15" w:history="1">
        <w:r w:rsidRPr="002C57A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https://www.universalis-edu.com/encyclopedie/chasse-a-la-baleine</w:t>
        </w:r>
      </w:hyperlink>
    </w:p>
    <w:p w14:paraId="3D201703" w14:textId="77777777" w:rsidR="00DC78A5" w:rsidRDefault="00DC78A5" w:rsidP="00DC78A5">
      <w:pPr>
        <w:spacing w:before="100" w:beforeAutospacing="1" w:after="100" w:afterAutospacing="1" w:line="240" w:lineRule="auto"/>
        <w:ind w:hanging="426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  <w:t xml:space="preserve">Delmas Antoine, Guillaume J. </w:t>
      </w:r>
      <w:r w:rsidRPr="00E114A1"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  <w:t>La chasse des cétacés, révélatrice des rapports multiples de l’Humanité avec la Planète océane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  <w:t xml:space="preserve">. </w:t>
      </w:r>
      <w:proofErr w:type="spellStart"/>
      <w:r w:rsidRPr="00E114A1"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  <w:t>Géoconfluences</w:t>
      </w:r>
      <w:proofErr w:type="spellEnd"/>
      <w:r w:rsidRPr="00E114A1"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  <w:t>, décembre 2018.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fr-FR"/>
        </w:rPr>
        <w:t xml:space="preserve"> </w:t>
      </w:r>
      <w:hyperlink r:id="rId16" w:history="1">
        <w:r w:rsidRPr="006843A4">
          <w:rPr>
            <w:rStyle w:val="Lienhypertexte"/>
            <w:rFonts w:ascii="Arial" w:eastAsia="Times New Roman" w:hAnsi="Arial" w:cs="Arial"/>
            <w:bCs/>
            <w:kern w:val="36"/>
            <w:sz w:val="24"/>
            <w:szCs w:val="24"/>
            <w:lang w:eastAsia="fr-FR"/>
          </w:rPr>
          <w:t>https://geoconfluences.ens-lyon.fr/informations-scientifiques/dossiers-thematiques/oceans-et-mondialisation/articles-scientifiques/chasse-baleiniere</w:t>
        </w:r>
      </w:hyperlink>
    </w:p>
    <w:p w14:paraId="131F90A1" w14:textId="77777777" w:rsidR="00DC78A5" w:rsidRPr="00806D97" w:rsidRDefault="00DC78A5" w:rsidP="00DC78A5">
      <w:pPr>
        <w:spacing w:line="240" w:lineRule="auto"/>
        <w:ind w:hanging="567"/>
        <w:rPr>
          <w:rFonts w:ascii="Arial" w:hAnsi="Arial" w:cs="Arial"/>
          <w:sz w:val="24"/>
          <w:szCs w:val="24"/>
        </w:rPr>
      </w:pPr>
      <w:proofErr w:type="spellStart"/>
      <w:r w:rsidRPr="00806D97">
        <w:rPr>
          <w:rFonts w:ascii="Arial" w:hAnsi="Arial" w:cs="Arial"/>
          <w:color w:val="222222"/>
          <w:sz w:val="24"/>
          <w:szCs w:val="24"/>
          <w:shd w:val="clear" w:color="auto" w:fill="FFFFFF"/>
        </w:rPr>
        <w:t>Ducène</w:t>
      </w:r>
      <w:proofErr w:type="spellEnd"/>
      <w:r w:rsidRPr="00806D97">
        <w:rPr>
          <w:rFonts w:ascii="Arial" w:hAnsi="Arial" w:cs="Arial"/>
          <w:color w:val="222222"/>
          <w:sz w:val="24"/>
          <w:szCs w:val="24"/>
          <w:shd w:val="clear" w:color="auto" w:fill="FFFFFF"/>
        </w:rPr>
        <w:t>, J. C. (2021). La chasse à la baleine dans les mers septentrionales selon les sources arabes médiévales. </w:t>
      </w:r>
      <w:r w:rsidRPr="00806D97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Médiévales. Langues, Textes, Histoire</w:t>
      </w:r>
      <w:r w:rsidRPr="00806D97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r w:rsidRPr="00806D97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80</w:t>
      </w:r>
      <w:r w:rsidRPr="00806D9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(80), 65-79. </w:t>
      </w:r>
      <w:r w:rsidRPr="00806D97">
        <w:rPr>
          <w:rFonts w:ascii="Arial" w:hAnsi="Arial" w:cs="Arial"/>
          <w:sz w:val="24"/>
          <w:szCs w:val="24"/>
        </w:rPr>
        <w:t xml:space="preserve">URL : </w:t>
      </w:r>
      <w:hyperlink r:id="rId17" w:history="1">
        <w:r w:rsidRPr="00806D97">
          <w:rPr>
            <w:rStyle w:val="Lienhypertexte"/>
            <w:rFonts w:ascii="Arial" w:hAnsi="Arial" w:cs="Arial"/>
            <w:sz w:val="24"/>
            <w:szCs w:val="24"/>
          </w:rPr>
          <w:t>https://journals.openedition.org/medievales/11274</w:t>
        </w:r>
      </w:hyperlink>
    </w:p>
    <w:p w14:paraId="3CFC3AD1" w14:textId="77777777" w:rsidR="00DC78A5" w:rsidRDefault="00DC78A5" w:rsidP="00DC78A5">
      <w:pPr>
        <w:spacing w:before="100" w:beforeAutospacing="1" w:after="100" w:afterAutospacing="1" w:line="240" w:lineRule="auto"/>
        <w:ind w:hanging="426"/>
        <w:outlineLvl w:val="0"/>
        <w:rPr>
          <w:rFonts w:ascii="Arial" w:eastAsia="Times New Roman" w:hAnsi="Arial" w:cs="Arial"/>
          <w:sz w:val="24"/>
          <w:szCs w:val="24"/>
          <w:lang w:eastAsia="fr-FR"/>
        </w:rPr>
      </w:pPr>
      <w:r w:rsidRPr="00806D97">
        <w:rPr>
          <w:rFonts w:ascii="Arial" w:hAnsi="Arial" w:cs="Arial"/>
          <w:sz w:val="24"/>
          <w:szCs w:val="24"/>
        </w:rPr>
        <w:t xml:space="preserve">Guillaume, J. (2017). Bref retour sur la chasse à la baleine Un révélateur des rapports tourmentés de l’Homme à l’animal sauvage. La Géographie, 1566(3), 16-19. </w:t>
      </w:r>
      <w:hyperlink r:id="rId18" w:history="1">
        <w:r w:rsidRPr="00806D97">
          <w:rPr>
            <w:rStyle w:val="Lienhypertexte"/>
            <w:rFonts w:ascii="Arial" w:hAnsi="Arial" w:cs="Arial"/>
            <w:sz w:val="24"/>
            <w:szCs w:val="24"/>
          </w:rPr>
          <w:t>https://doi.org/10.3917/geo.1566.0016</w:t>
        </w:r>
      </w:hyperlink>
    </w:p>
    <w:p w14:paraId="336944F6" w14:textId="77777777" w:rsidR="00DC78A5" w:rsidRPr="00383884" w:rsidRDefault="00DC78A5" w:rsidP="00DC78A5">
      <w:pPr>
        <w:spacing w:after="0" w:line="240" w:lineRule="auto"/>
        <w:ind w:hanging="567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FB0124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Kazuharu</w:t>
      </w:r>
      <w:proofErr w:type="spellEnd"/>
      <w:r w:rsidRPr="00FB0124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 </w:t>
      </w:r>
      <w:proofErr w:type="spellStart"/>
      <w:r w:rsidRPr="00FB0124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Takehana</w:t>
      </w:r>
      <w:proofErr w:type="spellEnd"/>
      <w:r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. (2022).</w:t>
      </w:r>
      <w:r w:rsidRPr="00383884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 « La chasse à la baleine chez les Aïnous et leurs traditions préhistoriques dans l’archipel du Japon », </w:t>
      </w:r>
      <w:r w:rsidRPr="00FB0124">
        <w:rPr>
          <w:rFonts w:ascii="Verdana" w:eastAsia="Times New Roman" w:hAnsi="Verdana" w:cs="Times New Roman"/>
          <w:i/>
          <w:iCs/>
          <w:color w:val="000000"/>
          <w:shd w:val="clear" w:color="auto" w:fill="FFFFFF"/>
          <w:lang w:eastAsia="fr-FR"/>
        </w:rPr>
        <w:t>Les nouvelles de l'archéologie</w:t>
      </w:r>
      <w:r w:rsidRPr="00383884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 xml:space="preserve"> [En ligne], 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 xml:space="preserve">n° </w:t>
      </w:r>
      <w:r w:rsidRPr="00383884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>166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 xml:space="preserve">, </w:t>
      </w:r>
      <w:r w:rsidRPr="00383884"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 xml:space="preserve">consulté le 05 février 2026. URL : </w:t>
      </w:r>
      <w:hyperlink r:id="rId19" w:history="1">
        <w:r w:rsidRPr="006843A4">
          <w:rPr>
            <w:rStyle w:val="Lienhypertexte"/>
            <w:rFonts w:ascii="Verdana" w:eastAsia="Times New Roman" w:hAnsi="Verdana" w:cs="Times New Roman"/>
            <w:shd w:val="clear" w:color="auto" w:fill="FFFFFF"/>
            <w:lang w:eastAsia="fr-FR"/>
          </w:rPr>
          <w:t>https://doi.org/10.4000/nda.13367</w:t>
        </w:r>
      </w:hyperlink>
      <w:r>
        <w:rPr>
          <w:rFonts w:ascii="Verdana" w:eastAsia="Times New Roman" w:hAnsi="Verdana" w:cs="Times New Roman"/>
          <w:color w:val="000000"/>
          <w:shd w:val="clear" w:color="auto" w:fill="FFFFFF"/>
          <w:lang w:eastAsia="fr-FR"/>
        </w:rPr>
        <w:t xml:space="preserve"> </w:t>
      </w:r>
    </w:p>
    <w:p w14:paraId="68874D75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9B37545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Pastoureau, M. (2023).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La </w:t>
      </w:r>
      <w:proofErr w:type="gramStart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baleine:</w:t>
      </w:r>
      <w:proofErr w:type="gramEnd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Une histoire culturelle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Éditions du Seuil.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(398.369 PAS)</w:t>
      </w:r>
    </w:p>
    <w:p w14:paraId="64A6A3E4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7EA5B23" w14:textId="77777777" w:rsidR="00DC78A5" w:rsidRDefault="00DC78A5" w:rsidP="00DC78A5">
      <w:pPr>
        <w:spacing w:after="0" w:line="240" w:lineRule="auto"/>
        <w:ind w:hanging="480"/>
        <w:rPr>
          <w:rFonts w:ascii="Arial" w:hAnsi="Arial" w:cs="Arial"/>
          <w:sz w:val="24"/>
          <w:szCs w:val="24"/>
        </w:rPr>
      </w:pPr>
      <w:r w:rsidRPr="00EB7C5C">
        <w:rPr>
          <w:rFonts w:ascii="Arial" w:hAnsi="Arial" w:cs="Arial"/>
          <w:sz w:val="24"/>
          <w:szCs w:val="24"/>
        </w:rPr>
        <w:t xml:space="preserve">Victor, A.-M. (1987). Éléments symboliques de la chasse à la baleine. </w:t>
      </w:r>
      <w:r w:rsidRPr="00EB7C5C">
        <w:rPr>
          <w:rFonts w:ascii="Arial" w:hAnsi="Arial" w:cs="Arial"/>
          <w:i/>
          <w:iCs/>
          <w:sz w:val="24"/>
          <w:szCs w:val="24"/>
        </w:rPr>
        <w:t>Études/Inuit/</w:t>
      </w:r>
      <w:proofErr w:type="spellStart"/>
      <w:r w:rsidRPr="00EB7C5C">
        <w:rPr>
          <w:rFonts w:ascii="Arial" w:hAnsi="Arial" w:cs="Arial"/>
          <w:i/>
          <w:iCs/>
          <w:sz w:val="24"/>
          <w:szCs w:val="24"/>
        </w:rPr>
        <w:t>Studies</w:t>
      </w:r>
      <w:proofErr w:type="spellEnd"/>
      <w:r w:rsidRPr="00EB7C5C">
        <w:rPr>
          <w:rFonts w:ascii="Arial" w:hAnsi="Arial" w:cs="Arial"/>
          <w:sz w:val="24"/>
          <w:szCs w:val="24"/>
        </w:rPr>
        <w:t xml:space="preserve">, </w:t>
      </w:r>
      <w:r w:rsidRPr="00EB7C5C">
        <w:rPr>
          <w:rFonts w:ascii="Arial" w:hAnsi="Arial" w:cs="Arial"/>
          <w:i/>
          <w:iCs/>
          <w:sz w:val="24"/>
          <w:szCs w:val="24"/>
        </w:rPr>
        <w:t>11</w:t>
      </w:r>
      <w:r w:rsidRPr="00EB7C5C">
        <w:rPr>
          <w:rFonts w:ascii="Arial" w:hAnsi="Arial" w:cs="Arial"/>
          <w:sz w:val="24"/>
          <w:szCs w:val="24"/>
        </w:rPr>
        <w:t xml:space="preserve">(2), 139–163. </w:t>
      </w:r>
      <w:hyperlink r:id="rId20" w:history="1">
        <w:r w:rsidRPr="006843A4">
          <w:rPr>
            <w:rStyle w:val="Lienhypertexte"/>
            <w:rFonts w:ascii="Arial" w:hAnsi="Arial" w:cs="Arial"/>
            <w:sz w:val="24"/>
            <w:szCs w:val="24"/>
          </w:rPr>
          <w:t>http://www.jstor.org/stable/42869608</w:t>
        </w:r>
      </w:hyperlink>
    </w:p>
    <w:p w14:paraId="24B72A7A" w14:textId="77777777" w:rsidR="00DC78A5" w:rsidRDefault="00DC78A5" w:rsidP="00DC78A5">
      <w:pPr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1E55F37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>4 - La b</w:t>
      </w:r>
      <w:r w:rsidRPr="00E4434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aleine et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l’</w:t>
      </w:r>
      <w:r w:rsidRPr="00E44349">
        <w:rPr>
          <w:rFonts w:ascii="Arial" w:eastAsia="Times New Roman" w:hAnsi="Arial" w:cs="Arial"/>
          <w:b/>
          <w:sz w:val="24"/>
          <w:szCs w:val="24"/>
          <w:lang w:eastAsia="fr-FR"/>
        </w:rPr>
        <w:t>Homme : tourisme baleinier</w:t>
      </w:r>
    </w:p>
    <w:p w14:paraId="77829319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67522948" w14:textId="77777777" w:rsidR="00DC78A5" w:rsidRPr="00373FC9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373FC9">
        <w:rPr>
          <w:rFonts w:ascii="Arial" w:hAnsi="Arial" w:cs="Arial"/>
          <w:sz w:val="24"/>
          <w:szCs w:val="24"/>
        </w:rPr>
        <w:t xml:space="preserve">Andrea, M. F. P. (2015). Chapitre 3. L’offre de </w:t>
      </w:r>
      <w:proofErr w:type="spellStart"/>
      <w:r w:rsidRPr="00373FC9">
        <w:rPr>
          <w:rFonts w:ascii="Arial" w:hAnsi="Arial" w:cs="Arial"/>
          <w:sz w:val="24"/>
          <w:szCs w:val="24"/>
        </w:rPr>
        <w:t>whale</w:t>
      </w:r>
      <w:proofErr w:type="spellEnd"/>
      <w:r w:rsidRPr="00373F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FC9">
        <w:rPr>
          <w:rFonts w:ascii="Arial" w:hAnsi="Arial" w:cs="Arial"/>
          <w:sz w:val="24"/>
          <w:szCs w:val="24"/>
        </w:rPr>
        <w:t>watching</w:t>
      </w:r>
      <w:proofErr w:type="spellEnd"/>
      <w:r w:rsidRPr="00373FC9">
        <w:rPr>
          <w:rFonts w:ascii="Arial" w:hAnsi="Arial" w:cs="Arial"/>
          <w:sz w:val="24"/>
          <w:szCs w:val="24"/>
        </w:rPr>
        <w:t xml:space="preserve"> à Madagascar, Maurice et La Réunion. </w:t>
      </w:r>
      <w:r w:rsidRPr="00373FC9">
        <w:rPr>
          <w:rFonts w:ascii="Arial" w:hAnsi="Arial" w:cs="Arial"/>
          <w:i/>
          <w:iCs/>
          <w:sz w:val="24"/>
          <w:szCs w:val="24"/>
        </w:rPr>
        <w:t xml:space="preserve">Analyse socioéconomique du </w:t>
      </w:r>
      <w:proofErr w:type="spellStart"/>
      <w:r w:rsidRPr="00373FC9">
        <w:rPr>
          <w:rFonts w:ascii="Arial" w:hAnsi="Arial" w:cs="Arial"/>
          <w:i/>
          <w:iCs/>
          <w:sz w:val="24"/>
          <w:szCs w:val="24"/>
        </w:rPr>
        <w:t>whale</w:t>
      </w:r>
      <w:proofErr w:type="spellEnd"/>
      <w:r w:rsidRPr="00373FC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73FC9">
        <w:rPr>
          <w:rFonts w:ascii="Arial" w:hAnsi="Arial" w:cs="Arial"/>
          <w:i/>
          <w:iCs/>
          <w:sz w:val="24"/>
          <w:szCs w:val="24"/>
        </w:rPr>
        <w:t>watching</w:t>
      </w:r>
      <w:proofErr w:type="spellEnd"/>
      <w:r w:rsidRPr="00373FC9">
        <w:rPr>
          <w:rFonts w:ascii="Arial" w:hAnsi="Arial" w:cs="Arial"/>
          <w:i/>
          <w:iCs/>
          <w:sz w:val="24"/>
          <w:szCs w:val="24"/>
        </w:rPr>
        <w:t xml:space="preserve"> à Madagascar et La Réunion</w:t>
      </w:r>
      <w:r w:rsidRPr="00373FC9">
        <w:rPr>
          <w:rFonts w:ascii="Arial" w:hAnsi="Arial" w:cs="Arial"/>
          <w:sz w:val="24"/>
          <w:szCs w:val="24"/>
        </w:rPr>
        <w:t xml:space="preserve">, 45. </w:t>
      </w:r>
      <w:r w:rsidRPr="00373FC9">
        <w:rPr>
          <w:rFonts w:ascii="Arial" w:eastAsia="Times New Roman" w:hAnsi="Arial" w:cs="Arial"/>
          <w:sz w:val="24"/>
          <w:szCs w:val="24"/>
          <w:lang w:eastAsia="fr-FR"/>
        </w:rPr>
        <w:t>https://horizon.documentation.ird.fr/exl-doc/pleins_textes/divers17-02/010069129.pdf#page=45</w:t>
      </w:r>
    </w:p>
    <w:p w14:paraId="56068B18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412ECB0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4A0030">
        <w:rPr>
          <w:rFonts w:ascii="Arial" w:eastAsia="Times New Roman" w:hAnsi="Arial" w:cs="Arial"/>
          <w:sz w:val="24"/>
          <w:szCs w:val="24"/>
          <w:lang w:eastAsia="fr-FR"/>
        </w:rPr>
        <w:t>Cattan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4A0030">
        <w:rPr>
          <w:rFonts w:ascii="Arial" w:eastAsia="Times New Roman" w:hAnsi="Arial" w:cs="Arial"/>
          <w:sz w:val="24"/>
          <w:szCs w:val="24"/>
          <w:lang w:eastAsia="fr-FR"/>
        </w:rPr>
        <w:t>Nadine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4A0030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4A0030">
        <w:rPr>
          <w:rFonts w:ascii="Arial" w:eastAsia="Times New Roman" w:hAnsi="Arial" w:cs="Arial"/>
          <w:sz w:val="24"/>
          <w:szCs w:val="24"/>
          <w:lang w:eastAsia="fr-FR"/>
        </w:rPr>
        <w:t>2023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4A0030">
        <w:rPr>
          <w:rFonts w:ascii="Arial" w:eastAsia="Times New Roman" w:hAnsi="Arial" w:cs="Arial"/>
          <w:sz w:val="24"/>
          <w:szCs w:val="24"/>
          <w:lang w:eastAsia="fr-FR"/>
        </w:rPr>
        <w:t xml:space="preserve"> "Baleine". </w:t>
      </w:r>
      <w:proofErr w:type="spellStart"/>
      <w:r w:rsidRPr="004A0030">
        <w:rPr>
          <w:rFonts w:ascii="Arial" w:eastAsia="Times New Roman" w:hAnsi="Arial" w:cs="Arial"/>
          <w:sz w:val="24"/>
          <w:szCs w:val="24"/>
          <w:lang w:eastAsia="fr-FR"/>
        </w:rPr>
        <w:t>MobiDic</w:t>
      </w:r>
      <w:proofErr w:type="spellEnd"/>
      <w:r w:rsidRPr="004A0030">
        <w:rPr>
          <w:rFonts w:ascii="Arial" w:eastAsia="Times New Roman" w:hAnsi="Arial" w:cs="Arial"/>
          <w:sz w:val="24"/>
          <w:szCs w:val="24"/>
          <w:lang w:eastAsia="fr-FR"/>
        </w:rPr>
        <w:t>, Dictionnaire critique des Mobilités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de </w:t>
      </w:r>
      <w:r>
        <w:t xml:space="preserve">l’UMR 8504 du CNRS. </w:t>
      </w:r>
      <w:r w:rsidRPr="004A0030">
        <w:rPr>
          <w:rFonts w:ascii="Arial" w:eastAsia="Times New Roman" w:hAnsi="Arial" w:cs="Arial"/>
          <w:sz w:val="24"/>
          <w:szCs w:val="24"/>
          <w:lang w:eastAsia="fr-FR"/>
        </w:rPr>
        <w:t xml:space="preserve">Accès </w:t>
      </w:r>
      <w:hyperlink r:id="rId21" w:history="1">
        <w:r w:rsidRPr="006843A4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http://doi.org/10.60582/geomob6</w:t>
        </w:r>
      </w:hyperlink>
    </w:p>
    <w:p w14:paraId="750EF506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9DAE642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E467D0">
        <w:rPr>
          <w:rFonts w:ascii="Arial" w:eastAsia="Times New Roman" w:hAnsi="Arial" w:cs="Arial"/>
          <w:sz w:val="24"/>
          <w:szCs w:val="24"/>
          <w:lang w:eastAsia="fr-FR"/>
        </w:rPr>
        <w:t>Saisho</w:t>
      </w:r>
      <w:proofErr w:type="spellEnd"/>
      <w:r w:rsidRPr="00E467D0">
        <w:rPr>
          <w:rFonts w:ascii="Arial" w:eastAsia="Times New Roman" w:hAnsi="Arial" w:cs="Arial"/>
          <w:sz w:val="24"/>
          <w:szCs w:val="24"/>
          <w:lang w:eastAsia="fr-FR"/>
        </w:rPr>
        <w:t xml:space="preserve">, M. et </w:t>
      </w:r>
      <w:proofErr w:type="spellStart"/>
      <w:r w:rsidRPr="00E467D0">
        <w:rPr>
          <w:rFonts w:ascii="Arial" w:eastAsia="Times New Roman" w:hAnsi="Arial" w:cs="Arial"/>
          <w:sz w:val="24"/>
          <w:szCs w:val="24"/>
          <w:lang w:eastAsia="fr-FR"/>
        </w:rPr>
        <w:t>Sandron</w:t>
      </w:r>
      <w:proofErr w:type="spellEnd"/>
      <w:r w:rsidRPr="00E467D0">
        <w:rPr>
          <w:rFonts w:ascii="Arial" w:eastAsia="Times New Roman" w:hAnsi="Arial" w:cs="Arial"/>
          <w:sz w:val="24"/>
          <w:szCs w:val="24"/>
          <w:lang w:eastAsia="fr-FR"/>
        </w:rPr>
        <w:t xml:space="preserve">, F. (2017). Baleines et Route des Baleines : patrimonialisation et territoire dans le sud-ouest de l’océan Indien. </w:t>
      </w:r>
      <w:proofErr w:type="spellStart"/>
      <w:r w:rsidRPr="00E467D0">
        <w:rPr>
          <w:rFonts w:ascii="Arial" w:eastAsia="Times New Roman" w:hAnsi="Arial" w:cs="Arial"/>
          <w:sz w:val="24"/>
          <w:szCs w:val="24"/>
          <w:lang w:eastAsia="fr-FR"/>
        </w:rPr>
        <w:t>Autrepart</w:t>
      </w:r>
      <w:proofErr w:type="spellEnd"/>
      <w:r w:rsidRPr="00E467D0">
        <w:rPr>
          <w:rFonts w:ascii="Arial" w:eastAsia="Times New Roman" w:hAnsi="Arial" w:cs="Arial"/>
          <w:sz w:val="24"/>
          <w:szCs w:val="24"/>
          <w:lang w:eastAsia="fr-FR"/>
        </w:rPr>
        <w:t xml:space="preserve">, 84(4), 51-72. </w:t>
      </w:r>
      <w:hyperlink r:id="rId22" w:history="1">
        <w:r w:rsidRPr="006843A4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https://doi-org.federation.unimes.fr:8443/10.3917/autr.084.0051</w:t>
        </w:r>
      </w:hyperlink>
      <w:r w:rsidRPr="00E467D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3DC04E37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5855E76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E31DB7">
        <w:rPr>
          <w:rFonts w:ascii="Arial" w:eastAsia="Times New Roman" w:hAnsi="Arial" w:cs="Arial"/>
          <w:sz w:val="24"/>
          <w:szCs w:val="24"/>
          <w:lang w:eastAsia="fr-FR"/>
        </w:rPr>
        <w:lastRenderedPageBreak/>
        <w:t>Saisho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proofErr w:type="gramStart"/>
      <w:r w:rsidRPr="00E31DB7">
        <w:rPr>
          <w:rFonts w:ascii="Arial" w:eastAsia="Times New Roman" w:hAnsi="Arial" w:cs="Arial"/>
          <w:sz w:val="24"/>
          <w:szCs w:val="24"/>
          <w:lang w:eastAsia="fr-FR"/>
        </w:rPr>
        <w:t>Moeha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>2022)</w:t>
      </w:r>
      <w:r w:rsidRPr="00E31DB7">
        <w:rPr>
          <w:rFonts w:ascii="Arial" w:eastAsia="Times New Roman" w:hAnsi="Arial" w:cs="Arial"/>
          <w:sz w:val="24"/>
          <w:szCs w:val="24"/>
          <w:lang w:eastAsia="fr-FR"/>
        </w:rPr>
        <w:t xml:space="preserve">. Évolution et perceptions du </w:t>
      </w:r>
      <w:proofErr w:type="spellStart"/>
      <w:r w:rsidRPr="00E31DB7">
        <w:rPr>
          <w:rFonts w:ascii="Arial" w:eastAsia="Times New Roman" w:hAnsi="Arial" w:cs="Arial"/>
          <w:sz w:val="24"/>
          <w:szCs w:val="24"/>
          <w:lang w:eastAsia="fr-FR"/>
        </w:rPr>
        <w:t>whale</w:t>
      </w:r>
      <w:proofErr w:type="spellEnd"/>
      <w:r w:rsidRPr="00E31DB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E31DB7">
        <w:rPr>
          <w:rFonts w:ascii="Arial" w:eastAsia="Times New Roman" w:hAnsi="Arial" w:cs="Arial"/>
          <w:sz w:val="24"/>
          <w:szCs w:val="24"/>
          <w:lang w:eastAsia="fr-FR"/>
        </w:rPr>
        <w:t>watching</w:t>
      </w:r>
      <w:proofErr w:type="spellEnd"/>
      <w:r w:rsidRPr="00E31DB7">
        <w:rPr>
          <w:rFonts w:ascii="Arial" w:eastAsia="Times New Roman" w:hAnsi="Arial" w:cs="Arial"/>
          <w:sz w:val="24"/>
          <w:szCs w:val="24"/>
          <w:lang w:eastAsia="fr-FR"/>
        </w:rPr>
        <w:t xml:space="preserve"> à La Réunion et dans le sud-ouest de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E31DB7">
        <w:rPr>
          <w:rFonts w:ascii="Arial" w:eastAsia="Times New Roman" w:hAnsi="Arial" w:cs="Arial"/>
          <w:sz w:val="24"/>
          <w:szCs w:val="24"/>
          <w:lang w:eastAsia="fr-FR"/>
        </w:rPr>
        <w:t xml:space="preserve">l’océan Indien.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Thèse de </w:t>
      </w:r>
      <w:r w:rsidRPr="00E31DB7">
        <w:rPr>
          <w:rFonts w:ascii="Arial" w:eastAsia="Times New Roman" w:hAnsi="Arial" w:cs="Arial"/>
          <w:sz w:val="24"/>
          <w:szCs w:val="24"/>
          <w:lang w:eastAsia="fr-FR"/>
        </w:rPr>
        <w:t xml:space="preserve">Sociologie. Université de la Réunion, 2022. HAL </w:t>
      </w:r>
      <w:proofErr w:type="gramStart"/>
      <w:r w:rsidRPr="00E31DB7">
        <w:rPr>
          <w:rFonts w:ascii="Arial" w:eastAsia="Times New Roman" w:hAnsi="Arial" w:cs="Arial"/>
          <w:sz w:val="24"/>
          <w:szCs w:val="24"/>
          <w:lang w:eastAsia="fr-FR"/>
        </w:rPr>
        <w:t>Id:</w:t>
      </w:r>
      <w:proofErr w:type="gramEnd"/>
      <w:r w:rsidRPr="00E31DB7">
        <w:rPr>
          <w:rFonts w:ascii="Arial" w:eastAsia="Times New Roman" w:hAnsi="Arial" w:cs="Arial"/>
          <w:sz w:val="24"/>
          <w:szCs w:val="24"/>
          <w:lang w:eastAsia="fr-FR"/>
        </w:rPr>
        <w:t xml:space="preserve"> tel-03771417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hyperlink r:id="rId23" w:history="1">
        <w:r w:rsidRPr="006843A4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https://theses.hal.science/tel-03771417v1</w:t>
        </w:r>
      </w:hyperlink>
    </w:p>
    <w:p w14:paraId="38859D79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8F7052B" w14:textId="4B3A5389" w:rsidR="00DC78A5" w:rsidRPr="006B0B96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5 - </w:t>
      </w:r>
      <w:r w:rsidRPr="006B0B96">
        <w:rPr>
          <w:rFonts w:ascii="Arial" w:eastAsia="Times New Roman" w:hAnsi="Arial" w:cs="Arial"/>
          <w:b/>
          <w:sz w:val="24"/>
          <w:szCs w:val="24"/>
          <w:lang w:eastAsia="fr-FR"/>
        </w:rPr>
        <w:t>La baleine et les enjeux économiques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, écologiques, géopolitiques</w:t>
      </w:r>
    </w:p>
    <w:p w14:paraId="378E3723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5E5FE92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Barnabé, G. (2016).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Écologie et aménagement des eaux marines</w:t>
      </w:r>
      <w:r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: Le potentiel des océans et des mers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Lavoisier-Tec &amp; Doc.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(639.8 BAR)</w:t>
      </w:r>
    </w:p>
    <w:p w14:paraId="43642478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3D7EBFA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Benhammou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F., &amp; Sierra, P. (2017).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Territoires humains, mondes animaux</w:t>
      </w:r>
      <w:r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: Dossier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(Magasin : 905 HIS)</w:t>
      </w:r>
    </w:p>
    <w:p w14:paraId="3D84D499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BDCD84F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Roux de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Bézieux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S.,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Vallette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P. (19-, &amp;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Vallette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P. (2025).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L’océan en 100 questions</w:t>
      </w:r>
      <w:r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: Préserver l’avenir de l’humanité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Tallandier.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(577.7 ROU)</w:t>
      </w:r>
    </w:p>
    <w:p w14:paraId="526329A9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14225DD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Royer, P. (2014).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Géopolitique des mers et des </w:t>
      </w:r>
      <w:proofErr w:type="gramStart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océans:</w:t>
      </w:r>
      <w:proofErr w:type="gramEnd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Qui tient la mer tient le monde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 ([2e éd. </w:t>
      </w:r>
      <w:proofErr w:type="gram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mise</w:t>
      </w:r>
      <w:proofErr w:type="gram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 à jour]). Presses universitaires de France.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(327.091 6 ROY)</w:t>
      </w:r>
    </w:p>
    <w:p w14:paraId="21B37796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CFF8955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Royer, P., &amp;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Panafieu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J.-B. de. (2018).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La belle aventure de l’océan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Dunod.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(551.46 ROY)</w:t>
      </w:r>
    </w:p>
    <w:p w14:paraId="72448BE5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AB7C082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Viotte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M., &amp;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Dufourneaud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O. (2022).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Abysses</w:t>
      </w:r>
      <w:r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: L’odyssée des hommes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La Martinière.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(551. 490 9 VIO)</w:t>
      </w:r>
    </w:p>
    <w:p w14:paraId="06611FDC" w14:textId="77777777" w:rsidR="00DC78A5" w:rsidRDefault="00DC78A5" w:rsidP="00DC78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70FEC39" w14:textId="77777777" w:rsidR="00DC78A5" w:rsidRPr="00E44349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18E6347B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>6 - La b</w:t>
      </w:r>
      <w:r w:rsidRPr="00E44349">
        <w:rPr>
          <w:rFonts w:ascii="Arial" w:eastAsia="Times New Roman" w:hAnsi="Arial" w:cs="Arial"/>
          <w:b/>
          <w:sz w:val="24"/>
          <w:szCs w:val="24"/>
          <w:lang w:eastAsia="fr-FR"/>
        </w:rPr>
        <w:t>aleine dans la littérature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 : </w:t>
      </w:r>
    </w:p>
    <w:p w14:paraId="52780A21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62297DB6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Chase, O.,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Bachelott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X., &amp; Bouvet, P. (2015).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Récit de l’extraordinaire et affligeant naufrage du baleinier</w:t>
      </w:r>
      <w:r>
        <w:rPr>
          <w:rFonts w:ascii="Arial" w:eastAsia="Times New Roman" w:hAnsi="Arial" w:cs="Arial"/>
          <w:i/>
          <w:iCs/>
          <w:sz w:val="24"/>
          <w:szCs w:val="24"/>
          <w:lang w:eastAsia="fr-FR"/>
        </w:rPr>
        <w:t>.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Essex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Robert Laffont.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(814 CHA)</w:t>
      </w:r>
    </w:p>
    <w:p w14:paraId="6CC89445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5ECFD25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Ironmonger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>, J. W. (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with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 Barbaste, C.). (2016).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Sans oublier la baleine</w:t>
      </w:r>
      <w:r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: Roman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Stock.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(823 IRO)</w:t>
      </w:r>
    </w:p>
    <w:p w14:paraId="4FB86BCD" w14:textId="77777777" w:rsidR="00DC78A5" w:rsidRPr="00E44349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710C7EDF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Melville, H.,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Jaworski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P., Imbert, M. (19-, Imbert, M., Parker, H.,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Urbas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J., &amp; Villaret, J. (2004). </w:t>
      </w:r>
      <w:proofErr w:type="spellStart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Redburn</w:t>
      </w:r>
      <w:proofErr w:type="spellEnd"/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 ; Vareuse-Blanche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Gallimard.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(813 MEL)</w:t>
      </w:r>
    </w:p>
    <w:p w14:paraId="076C2455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ABA72F8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O’Crohan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T.,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Buhler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, J., &amp; Murphy, U. (2019).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L’homme des îles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>. Éditions Payot &amp; Rivages.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(891.6 OCR)</w:t>
      </w:r>
    </w:p>
    <w:p w14:paraId="3DD986BC" w14:textId="77777777" w:rsidR="00DC78A5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D12B0B0" w14:textId="77777777" w:rsidR="00DC78A5" w:rsidRPr="006120EC" w:rsidRDefault="00DC78A5" w:rsidP="00DC78A5">
      <w:pPr>
        <w:spacing w:after="0" w:line="240" w:lineRule="auto"/>
        <w:ind w:hanging="480"/>
        <w:rPr>
          <w:rFonts w:ascii="Arial" w:eastAsia="Times New Roman" w:hAnsi="Arial" w:cs="Arial"/>
          <w:sz w:val="24"/>
          <w:szCs w:val="24"/>
          <w:lang w:eastAsia="fr-FR"/>
        </w:rPr>
      </w:pPr>
      <w:r w:rsidRPr="006120EC">
        <w:rPr>
          <w:rFonts w:ascii="Arial" w:eastAsia="Times New Roman" w:hAnsi="Arial" w:cs="Arial"/>
          <w:sz w:val="24"/>
          <w:szCs w:val="24"/>
          <w:lang w:eastAsia="fr-FR"/>
        </w:rPr>
        <w:t>Ramos, P. (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Director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). (2011). </w:t>
      </w:r>
      <w:r w:rsidRPr="006120EC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Capitaine Achab</w:t>
      </w:r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 [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Video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6120EC">
        <w:rPr>
          <w:rFonts w:ascii="Arial" w:eastAsia="Times New Roman" w:hAnsi="Arial" w:cs="Arial"/>
          <w:sz w:val="24"/>
          <w:szCs w:val="24"/>
          <w:lang w:eastAsia="fr-FR"/>
        </w:rPr>
        <w:t>recording</w:t>
      </w:r>
      <w:proofErr w:type="spellEnd"/>
      <w:r w:rsidRPr="006120EC">
        <w:rPr>
          <w:rFonts w:ascii="Arial" w:eastAsia="Times New Roman" w:hAnsi="Arial" w:cs="Arial"/>
          <w:sz w:val="24"/>
          <w:szCs w:val="24"/>
          <w:lang w:eastAsia="fr-FR"/>
        </w:rPr>
        <w:t>]. Arte France Développement.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(D 791.43 RAM)</w:t>
      </w:r>
    </w:p>
    <w:p w14:paraId="324907A3" w14:textId="77777777" w:rsidR="00C94AB9" w:rsidRDefault="00C94AB9" w:rsidP="0005025E">
      <w:pPr>
        <w:rPr>
          <w:rFonts w:ascii="Arial" w:hAnsi="Arial" w:cs="Arial"/>
        </w:rPr>
      </w:pPr>
    </w:p>
    <w:sectPr w:rsidR="00C94AB9" w:rsidSect="00C21212">
      <w:footerReference w:type="default" r:id="rId24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03FFA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965FF"/>
    <w:rsid w:val="00BA0E07"/>
    <w:rsid w:val="00BA4A33"/>
    <w:rsid w:val="00BC0972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C78A5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3917/pls.549.0034" TargetMode="External"/><Relationship Id="rId18" Type="http://schemas.openxmlformats.org/officeDocument/2006/relationships/hyperlink" Target="https://doi.org/10.3917/geo.1566.001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i.org/10.60582/geomob6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universalis-edu.com/encyclopedie/cetaces" TargetMode="External"/><Relationship Id="rId17" Type="http://schemas.openxmlformats.org/officeDocument/2006/relationships/hyperlink" Target="https://journals.openedition.org/medievales/1127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eoconfluences.ens-lyon.fr/informations-scientifiques/dossiers-thematiques/oceans-et-mondialisation/articles-scientifiques/chasse-baleiniere" TargetMode="External"/><Relationship Id="rId20" Type="http://schemas.openxmlformats.org/officeDocument/2006/relationships/hyperlink" Target="http://www.jstor.org/stable/428696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versalis-edu.com/encyclopedie/baleine-a-fanon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universalis-edu.com/encyclopedie/chasse-a-la-baleine" TargetMode="External"/><Relationship Id="rId23" Type="http://schemas.openxmlformats.org/officeDocument/2006/relationships/hyperlink" Target="https://theses.hal.science/tel-03771417v1" TargetMode="External"/><Relationship Id="rId10" Type="http://schemas.openxmlformats.org/officeDocument/2006/relationships/image" Target="media/image20.png"/><Relationship Id="rId19" Type="http://schemas.openxmlformats.org/officeDocument/2006/relationships/hyperlink" Target="https://doi.org/10.4000/nda.133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hyperlink" Target="https://hal.science/hal-03770063v1" TargetMode="External"/><Relationship Id="rId22" Type="http://schemas.openxmlformats.org/officeDocument/2006/relationships/hyperlink" Target="https://doi-org.federation.unimes.fr:8443/10.3917/autr.084.005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2</cp:revision>
  <dcterms:created xsi:type="dcterms:W3CDTF">2026-02-20T20:21:00Z</dcterms:created>
  <dcterms:modified xsi:type="dcterms:W3CDTF">2026-02-20T20:21:00Z</dcterms:modified>
</cp:coreProperties>
</file>